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C12464" w14:paraId="47E64AA7" w14:textId="77777777" w:rsidTr="00060C0C">
        <w:trPr>
          <w:trHeight w:hRule="exact" w:val="2948"/>
        </w:trPr>
        <w:tc>
          <w:tcPr>
            <w:tcW w:w="11185" w:type="dxa"/>
            <w:shd w:val="clear" w:color="auto" w:fill="83D0F5"/>
            <w:vAlign w:val="center"/>
          </w:tcPr>
          <w:p w14:paraId="64F5E1DA" w14:textId="570BFAA4" w:rsidR="00974E99" w:rsidRPr="00C12464" w:rsidRDefault="00974E99" w:rsidP="00F65021">
            <w:pPr>
              <w:pStyle w:val="Documenttype"/>
            </w:pPr>
            <w:bookmarkStart w:id="0" w:name="_GoBack" w:colFirst="0" w:colLast="0"/>
            <w:r w:rsidRPr="00C12464">
              <w:t>I</w:t>
            </w:r>
            <w:bookmarkStart w:id="1" w:name="_Ref445215353"/>
            <w:bookmarkStart w:id="2" w:name="_Ref445215593"/>
            <w:bookmarkStart w:id="3" w:name="_Ref445217476"/>
            <w:bookmarkStart w:id="4" w:name="_Ref445217495"/>
            <w:bookmarkEnd w:id="1"/>
            <w:bookmarkEnd w:id="2"/>
            <w:bookmarkEnd w:id="3"/>
            <w:bookmarkEnd w:id="4"/>
            <w:r w:rsidRPr="00C12464">
              <w:t xml:space="preserve">ALA </w:t>
            </w:r>
            <w:r w:rsidR="00F905E1" w:rsidRPr="00C12464">
              <w:t>R</w:t>
            </w:r>
            <w:r w:rsidR="00F65021" w:rsidRPr="00C12464">
              <w:t>ecommendation</w:t>
            </w:r>
          </w:p>
        </w:tc>
      </w:tr>
      <w:bookmarkEnd w:id="0"/>
    </w:tbl>
    <w:p w14:paraId="68CAB611" w14:textId="4EEB5439" w:rsidR="008972C3" w:rsidRPr="00C12464" w:rsidRDefault="008972C3" w:rsidP="003274DB"/>
    <w:p w14:paraId="43B79C5E" w14:textId="4217A409" w:rsidR="00D74AE1" w:rsidRPr="00C12464" w:rsidRDefault="00D74AE1" w:rsidP="003274DB"/>
    <w:p w14:paraId="0072601B" w14:textId="45FA7A32" w:rsidR="00111E0A" w:rsidRPr="00C12464" w:rsidRDefault="00B855BC" w:rsidP="00111E0A">
      <w:pPr>
        <w:pStyle w:val="Documentnumber"/>
      </w:pPr>
      <w:proofErr w:type="gramStart"/>
      <w:r w:rsidRPr="00C12464">
        <w:rPr>
          <w:caps w:val="0"/>
        </w:rPr>
        <w:t>e</w:t>
      </w:r>
      <w:r w:rsidRPr="00C12464">
        <w:t>-NAV</w:t>
      </w:r>
      <w:proofErr w:type="gramEnd"/>
      <w:r w:rsidRPr="00C12464">
        <w:t xml:space="preserve"> 146</w:t>
      </w:r>
    </w:p>
    <w:p w14:paraId="3EDD9565" w14:textId="77777777" w:rsidR="00111E0A" w:rsidRPr="00C12464" w:rsidRDefault="00111E0A" w:rsidP="003274DB"/>
    <w:p w14:paraId="75F69517" w14:textId="2145C9FA" w:rsidR="00776004" w:rsidRPr="00C12464" w:rsidRDefault="00B855BC" w:rsidP="006B5AF6">
      <w:pPr>
        <w:pStyle w:val="Documentname"/>
      </w:pPr>
      <w:r w:rsidRPr="00C12464">
        <w:t>S</w:t>
      </w:r>
      <w:r w:rsidR="006B5AF6" w:rsidRPr="00C12464">
        <w:t>trategy for maintaining Racon service capability</w:t>
      </w:r>
    </w:p>
    <w:p w14:paraId="0FC2967C" w14:textId="4221CA0A" w:rsidR="00D74AE1" w:rsidRPr="00C12464" w:rsidRDefault="00D74AE1" w:rsidP="00D74AE1"/>
    <w:p w14:paraId="6CBF2C44" w14:textId="7B475B3A" w:rsidR="006A48A6" w:rsidRPr="00C12464" w:rsidRDefault="00D96043" w:rsidP="00D74AE1">
      <w:r>
        <w:rPr>
          <w:noProof/>
          <w:lang w:val="en-IE" w:eastAsia="en-IE"/>
        </w:rPr>
        <mc:AlternateContent>
          <mc:Choice Requires="wps">
            <w:drawing>
              <wp:anchor distT="45720" distB="45720" distL="114300" distR="114300" simplePos="0" relativeHeight="251659264" behindDoc="0" locked="0" layoutInCell="1" allowOverlap="1" wp14:anchorId="3BEE5CFE" wp14:editId="7AE77A30">
                <wp:simplePos x="0" y="0"/>
                <wp:positionH relativeFrom="column">
                  <wp:posOffset>308610</wp:posOffset>
                </wp:positionH>
                <wp:positionV relativeFrom="paragraph">
                  <wp:posOffset>19050</wp:posOffset>
                </wp:positionV>
                <wp:extent cx="5052695" cy="1404620"/>
                <wp:effectExtent l="0" t="0" r="14605"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2695" cy="1404620"/>
                        </a:xfrm>
                        <a:prstGeom prst="rect">
                          <a:avLst/>
                        </a:prstGeom>
                        <a:solidFill>
                          <a:srgbClr val="FFFFFF"/>
                        </a:solidFill>
                        <a:ln w="9525">
                          <a:solidFill>
                            <a:srgbClr val="000000"/>
                          </a:solidFill>
                          <a:miter lim="800000"/>
                          <a:headEnd/>
                          <a:tailEnd/>
                        </a:ln>
                      </wps:spPr>
                      <wps:txbx>
                        <w:txbxContent>
                          <w:p w14:paraId="5964C7D8" w14:textId="7AE42CB4" w:rsidR="00D96043" w:rsidRPr="00D96043" w:rsidRDefault="00D96043">
                            <w:pPr>
                              <w:rPr>
                                <w:color w:val="FF0000"/>
                              </w:rPr>
                            </w:pPr>
                            <w:r w:rsidRPr="00D96043">
                              <w:rPr>
                                <w:color w:val="FF0000"/>
                              </w:rPr>
                              <w:t xml:space="preserve">IALA policy is to remove Guideline content from Recommendations and focus Recommendations on the principles that </w:t>
                            </w:r>
                            <w:proofErr w:type="gramStart"/>
                            <w:r w:rsidRPr="00D96043">
                              <w:rPr>
                                <w:color w:val="FF0000"/>
                              </w:rPr>
                              <w:t>are recommended</w:t>
                            </w:r>
                            <w:proofErr w:type="gramEnd"/>
                            <w:r w:rsidRPr="00D96043">
                              <w:rPr>
                                <w:color w:val="FF0000"/>
                              </w:rPr>
                              <w:t xml:space="preserve"> (see example E-140).</w:t>
                            </w:r>
                          </w:p>
                          <w:p w14:paraId="1D477ACD" w14:textId="77777777" w:rsidR="00D96043" w:rsidRPr="00D96043" w:rsidRDefault="00D96043">
                            <w:pPr>
                              <w:rPr>
                                <w:color w:val="FF0000"/>
                              </w:rPr>
                            </w:pPr>
                          </w:p>
                          <w:p w14:paraId="629D9BC4" w14:textId="07FF338C" w:rsidR="00D96043" w:rsidRPr="00D96043" w:rsidRDefault="00D96043">
                            <w:pPr>
                              <w:rPr>
                                <w:color w:val="FF0000"/>
                              </w:rPr>
                            </w:pPr>
                            <w:r w:rsidRPr="00D96043">
                              <w:rPr>
                                <w:color w:val="FF0000"/>
                              </w:rPr>
                              <w:t xml:space="preserve">The Committee </w:t>
                            </w:r>
                            <w:proofErr w:type="gramStart"/>
                            <w:r w:rsidRPr="00D96043">
                              <w:rPr>
                                <w:color w:val="FF0000"/>
                              </w:rPr>
                              <w:t>is requested</w:t>
                            </w:r>
                            <w:proofErr w:type="gramEnd"/>
                            <w:r w:rsidRPr="00D96043">
                              <w:rPr>
                                <w:color w:val="FF0000"/>
                              </w:rPr>
                              <w:t xml:space="preserve"> to review this Recommendation and amend the Recommendation by removing the Annex, incorporating the principles</w:t>
                            </w:r>
                            <w:r>
                              <w:rPr>
                                <w:color w:val="FF0000"/>
                              </w:rPr>
                              <w:t xml:space="preserve"> </w:t>
                            </w:r>
                            <w:r w:rsidRPr="00D96043">
                              <w:rPr>
                                <w:color w:val="FF0000"/>
                              </w:rPr>
                              <w:t xml:space="preserve">(what to do) </w:t>
                            </w:r>
                            <w:r w:rsidRPr="00D96043">
                              <w:rPr>
                                <w:color w:val="FF0000"/>
                              </w:rPr>
                              <w:t>into the Recommendation and transferring Guideline content (how to do it) to another Guideline or a new Guideline.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3BEE5CFE" id="_x0000_t202" coordsize="21600,21600" o:spt="202" path="m,l,21600r21600,l21600,xe">
                <v:stroke joinstyle="miter"/>
                <v:path gradientshapeok="t" o:connecttype="rect"/>
              </v:shapetype>
              <v:shape id="Text Box 2" o:spid="_x0000_s1026" type="#_x0000_t202" style="position:absolute;margin-left:24.3pt;margin-top:1.5pt;width:397.85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">
                <v:textbox style="mso-fit-shape-to-text:t">
                  <w:txbxContent>
                    <w:p w14:paraId="5964C7D8" w14:textId="7AE42CB4" w:rsidR="00D96043" w:rsidRPr="00D96043" w:rsidRDefault="00D96043">
                      <w:pPr>
                        <w:rPr>
                          <w:color w:val="FF0000"/>
                        </w:rPr>
                      </w:pPr>
                      <w:r w:rsidRPr="00D96043">
                        <w:rPr>
                          <w:color w:val="FF0000"/>
                        </w:rPr>
                        <w:t xml:space="preserve">IALA policy is to remove Guideline content from Recommendations and focus Recommendations on the principles that </w:t>
                      </w:r>
                      <w:proofErr w:type="gramStart"/>
                      <w:r w:rsidRPr="00D96043">
                        <w:rPr>
                          <w:color w:val="FF0000"/>
                        </w:rPr>
                        <w:t>are recommended</w:t>
                      </w:r>
                      <w:proofErr w:type="gramEnd"/>
                      <w:r w:rsidRPr="00D96043">
                        <w:rPr>
                          <w:color w:val="FF0000"/>
                        </w:rPr>
                        <w:t xml:space="preserve"> (see example E-140).</w:t>
                      </w:r>
                    </w:p>
                    <w:p w14:paraId="1D477ACD" w14:textId="77777777" w:rsidR="00D96043" w:rsidRPr="00D96043" w:rsidRDefault="00D96043">
                      <w:pPr>
                        <w:rPr>
                          <w:color w:val="FF0000"/>
                        </w:rPr>
                      </w:pPr>
                    </w:p>
                    <w:p w14:paraId="629D9BC4" w14:textId="07FF338C" w:rsidR="00D96043" w:rsidRPr="00D96043" w:rsidRDefault="00D96043">
                      <w:pPr>
                        <w:rPr>
                          <w:color w:val="FF0000"/>
                        </w:rPr>
                      </w:pPr>
                      <w:r w:rsidRPr="00D96043">
                        <w:rPr>
                          <w:color w:val="FF0000"/>
                        </w:rPr>
                        <w:t xml:space="preserve">The Committee </w:t>
                      </w:r>
                      <w:proofErr w:type="gramStart"/>
                      <w:r w:rsidRPr="00D96043">
                        <w:rPr>
                          <w:color w:val="FF0000"/>
                        </w:rPr>
                        <w:t>is requested</w:t>
                      </w:r>
                      <w:proofErr w:type="gramEnd"/>
                      <w:r w:rsidRPr="00D96043">
                        <w:rPr>
                          <w:color w:val="FF0000"/>
                        </w:rPr>
                        <w:t xml:space="preserve"> to review this Recommendation and amend the Recommendation by removing the Annex, incorporating the principles</w:t>
                      </w:r>
                      <w:r>
                        <w:rPr>
                          <w:color w:val="FF0000"/>
                        </w:rPr>
                        <w:t xml:space="preserve"> </w:t>
                      </w:r>
                      <w:r w:rsidRPr="00D96043">
                        <w:rPr>
                          <w:color w:val="FF0000"/>
                        </w:rPr>
                        <w:t xml:space="preserve">(what to do) </w:t>
                      </w:r>
                      <w:r w:rsidRPr="00D96043">
                        <w:rPr>
                          <w:color w:val="FF0000"/>
                        </w:rPr>
                        <w:t>into the Recommendation and transferring Guideline content (how to do it) to another Guideline or a new Guideline.</w:t>
                      </w:r>
                    </w:p>
                  </w:txbxContent>
                </v:textbox>
                <w10:wrap type="square"/>
              </v:shape>
            </w:pict>
          </mc:Fallback>
        </mc:AlternateContent>
      </w:r>
    </w:p>
    <w:p w14:paraId="41B6E6B0" w14:textId="304C5436" w:rsidR="005378B8" w:rsidRPr="00C12464" w:rsidRDefault="005378B8" w:rsidP="00D74AE1"/>
    <w:p w14:paraId="20BCCC59" w14:textId="77777777" w:rsidR="005378B8" w:rsidRPr="00C12464" w:rsidRDefault="005378B8" w:rsidP="00D74AE1"/>
    <w:p w14:paraId="05F84714" w14:textId="77777777" w:rsidR="005378B8" w:rsidRPr="00C12464" w:rsidRDefault="005378B8" w:rsidP="00D74AE1"/>
    <w:p w14:paraId="20CB8E74" w14:textId="77777777" w:rsidR="005378B8" w:rsidRPr="00C12464" w:rsidRDefault="005378B8" w:rsidP="00D74AE1"/>
    <w:p w14:paraId="3C24B6DB" w14:textId="77777777" w:rsidR="005378B8" w:rsidRPr="00C12464" w:rsidRDefault="005378B8" w:rsidP="00D74AE1"/>
    <w:p w14:paraId="6787CAAB" w14:textId="77777777" w:rsidR="005378B8" w:rsidRPr="00C12464" w:rsidRDefault="005378B8" w:rsidP="00D74AE1"/>
    <w:p w14:paraId="5F76FD87" w14:textId="77777777" w:rsidR="005378B8" w:rsidRPr="00C12464" w:rsidRDefault="005378B8" w:rsidP="00D74AE1"/>
    <w:p w14:paraId="72E90419" w14:textId="77777777" w:rsidR="005378B8" w:rsidRPr="00C12464" w:rsidRDefault="005378B8" w:rsidP="00D74AE1"/>
    <w:p w14:paraId="704F2E09" w14:textId="77777777" w:rsidR="005378B8" w:rsidRPr="00C12464" w:rsidRDefault="005378B8" w:rsidP="00D74AE1"/>
    <w:p w14:paraId="28A61252" w14:textId="77777777" w:rsidR="005378B8" w:rsidRPr="00C12464" w:rsidRDefault="005378B8" w:rsidP="00D74AE1"/>
    <w:p w14:paraId="0619A1CB" w14:textId="77777777" w:rsidR="005378B8" w:rsidRPr="00C12464" w:rsidRDefault="005378B8" w:rsidP="00D74AE1"/>
    <w:p w14:paraId="20609F99" w14:textId="77777777" w:rsidR="005378B8" w:rsidRPr="00C12464" w:rsidRDefault="005378B8" w:rsidP="00D74AE1"/>
    <w:p w14:paraId="35D7628F" w14:textId="77777777" w:rsidR="005378B8" w:rsidRPr="00C12464" w:rsidRDefault="005378B8" w:rsidP="00D74AE1"/>
    <w:p w14:paraId="22ECE7B6" w14:textId="77777777" w:rsidR="005378B8" w:rsidRPr="00C12464" w:rsidRDefault="005378B8" w:rsidP="00D74AE1"/>
    <w:p w14:paraId="7581E9D6" w14:textId="77777777" w:rsidR="005378B8" w:rsidRPr="00C12464" w:rsidRDefault="005378B8" w:rsidP="00D74AE1"/>
    <w:p w14:paraId="13F4A3D7" w14:textId="77777777" w:rsidR="005378B8" w:rsidRPr="00C12464" w:rsidRDefault="005378B8" w:rsidP="00D74AE1"/>
    <w:p w14:paraId="2B3E3491" w14:textId="77777777" w:rsidR="005378B8" w:rsidRPr="00C12464" w:rsidRDefault="005378B8" w:rsidP="00D74AE1"/>
    <w:p w14:paraId="0C7360C4" w14:textId="77777777" w:rsidR="005378B8" w:rsidRPr="00C12464" w:rsidRDefault="005378B8" w:rsidP="00D74AE1"/>
    <w:p w14:paraId="4153FA9F" w14:textId="77777777" w:rsidR="005378B8" w:rsidRPr="00C12464" w:rsidRDefault="005378B8" w:rsidP="00D74AE1"/>
    <w:p w14:paraId="4DC2812C" w14:textId="77777777" w:rsidR="005378B8" w:rsidRPr="00C12464" w:rsidRDefault="005378B8" w:rsidP="00D74AE1"/>
    <w:p w14:paraId="18E71C2D" w14:textId="77777777" w:rsidR="005378B8" w:rsidRPr="00C12464" w:rsidRDefault="005378B8" w:rsidP="00D74AE1"/>
    <w:p w14:paraId="7530AB9B" w14:textId="440AAA53" w:rsidR="005378B8" w:rsidRPr="00C12464" w:rsidRDefault="005378B8" w:rsidP="005378B8">
      <w:pPr>
        <w:pStyle w:val="Editionnumber"/>
      </w:pPr>
      <w:r w:rsidRPr="00C12464">
        <w:t>Edition 1.0</w:t>
      </w:r>
    </w:p>
    <w:p w14:paraId="1B18B53F" w14:textId="249A3526" w:rsidR="00B855BC" w:rsidRPr="00C12464" w:rsidRDefault="005378B8" w:rsidP="005378B8">
      <w:pPr>
        <w:pStyle w:val="Documentdate"/>
      </w:pPr>
      <w:r w:rsidRPr="00C12464">
        <w:t>D</w:t>
      </w:r>
      <w:r w:rsidR="00B855BC" w:rsidRPr="00C12464">
        <w:t>ecember 2011</w:t>
      </w:r>
    </w:p>
    <w:p w14:paraId="5794C070" w14:textId="77777777" w:rsidR="00BC27F6" w:rsidRPr="00C12464" w:rsidRDefault="00BC27F6" w:rsidP="00D74AE1">
      <w:pPr>
        <w:sectPr w:rsidR="00BC27F6" w:rsidRPr="00C1246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2C4D6AD3" w14:textId="1E878B86" w:rsidR="00914E26" w:rsidRPr="00C12464" w:rsidRDefault="00914E26" w:rsidP="00914E26">
      <w:pPr>
        <w:pStyle w:val="BodyText"/>
      </w:pPr>
      <w:r w:rsidRPr="00C12464">
        <w:lastRenderedPageBreak/>
        <w:t xml:space="preserve">Revisions to this IALA Document are to </w:t>
      </w:r>
      <w:proofErr w:type="gramStart"/>
      <w:r w:rsidRPr="00C12464">
        <w:t>be noted</w:t>
      </w:r>
      <w:proofErr w:type="gramEnd"/>
      <w:r w:rsidRPr="00C12464">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12464" w14:paraId="430D3EB5" w14:textId="77777777" w:rsidTr="005E4659">
        <w:tc>
          <w:tcPr>
            <w:tcW w:w="1908" w:type="dxa"/>
          </w:tcPr>
          <w:p w14:paraId="3107F566" w14:textId="77777777" w:rsidR="00914E26" w:rsidRPr="00C12464" w:rsidRDefault="00914E26" w:rsidP="00914E26">
            <w:pPr>
              <w:pStyle w:val="Tabletexttitle"/>
            </w:pPr>
            <w:r w:rsidRPr="00C12464">
              <w:t>Date</w:t>
            </w:r>
          </w:p>
        </w:tc>
        <w:tc>
          <w:tcPr>
            <w:tcW w:w="3576" w:type="dxa"/>
          </w:tcPr>
          <w:p w14:paraId="195E253F" w14:textId="77777777" w:rsidR="00914E26" w:rsidRPr="00C12464" w:rsidRDefault="00914E26" w:rsidP="00914E26">
            <w:pPr>
              <w:pStyle w:val="Tabletexttitle"/>
            </w:pPr>
            <w:r w:rsidRPr="00C12464">
              <w:t>Page / Section Revised</w:t>
            </w:r>
          </w:p>
        </w:tc>
        <w:tc>
          <w:tcPr>
            <w:tcW w:w="5001" w:type="dxa"/>
          </w:tcPr>
          <w:p w14:paraId="4BC79789" w14:textId="77777777" w:rsidR="00914E26" w:rsidRPr="00C12464" w:rsidRDefault="00914E26" w:rsidP="005E4659">
            <w:pPr>
              <w:pStyle w:val="Tabletexttitle"/>
              <w:ind w:right="112"/>
            </w:pPr>
            <w:r w:rsidRPr="00C12464">
              <w:t>Requirement for Revision</w:t>
            </w:r>
          </w:p>
        </w:tc>
      </w:tr>
      <w:tr w:rsidR="005E4659" w:rsidRPr="00C12464" w14:paraId="6C9FFC42" w14:textId="77777777" w:rsidTr="005E4659">
        <w:trPr>
          <w:trHeight w:val="851"/>
        </w:trPr>
        <w:tc>
          <w:tcPr>
            <w:tcW w:w="1908" w:type="dxa"/>
            <w:vAlign w:val="center"/>
          </w:tcPr>
          <w:p w14:paraId="6E2B7AB8" w14:textId="77777777" w:rsidR="00914E26" w:rsidRPr="00C12464" w:rsidRDefault="00914E26" w:rsidP="00914E26">
            <w:pPr>
              <w:pStyle w:val="Tabletext"/>
            </w:pPr>
          </w:p>
        </w:tc>
        <w:tc>
          <w:tcPr>
            <w:tcW w:w="3576" w:type="dxa"/>
            <w:vAlign w:val="center"/>
          </w:tcPr>
          <w:p w14:paraId="150FE44D" w14:textId="77777777" w:rsidR="00914E26" w:rsidRPr="00C12464" w:rsidRDefault="00914E26" w:rsidP="00914E26">
            <w:pPr>
              <w:pStyle w:val="Tabletext"/>
            </w:pPr>
          </w:p>
        </w:tc>
        <w:tc>
          <w:tcPr>
            <w:tcW w:w="5001" w:type="dxa"/>
            <w:vAlign w:val="center"/>
          </w:tcPr>
          <w:p w14:paraId="1DB61067" w14:textId="77777777" w:rsidR="00914E26" w:rsidRPr="00C12464" w:rsidRDefault="00914E26" w:rsidP="00914E26">
            <w:pPr>
              <w:pStyle w:val="Tabletext"/>
            </w:pPr>
          </w:p>
        </w:tc>
      </w:tr>
      <w:tr w:rsidR="005E4659" w:rsidRPr="00C12464" w14:paraId="1B9351AC" w14:textId="77777777" w:rsidTr="005E4659">
        <w:trPr>
          <w:trHeight w:val="851"/>
        </w:trPr>
        <w:tc>
          <w:tcPr>
            <w:tcW w:w="1908" w:type="dxa"/>
            <w:vAlign w:val="center"/>
          </w:tcPr>
          <w:p w14:paraId="509D5CB2" w14:textId="77777777" w:rsidR="00914E26" w:rsidRPr="00C12464" w:rsidRDefault="00914E26" w:rsidP="00914E26">
            <w:pPr>
              <w:pStyle w:val="Tabletext"/>
            </w:pPr>
          </w:p>
        </w:tc>
        <w:tc>
          <w:tcPr>
            <w:tcW w:w="3576" w:type="dxa"/>
            <w:vAlign w:val="center"/>
          </w:tcPr>
          <w:p w14:paraId="3FFA0815" w14:textId="77777777" w:rsidR="00914E26" w:rsidRPr="00C12464" w:rsidRDefault="00914E26" w:rsidP="00914E26">
            <w:pPr>
              <w:pStyle w:val="Tabletext"/>
            </w:pPr>
          </w:p>
        </w:tc>
        <w:tc>
          <w:tcPr>
            <w:tcW w:w="5001" w:type="dxa"/>
            <w:vAlign w:val="center"/>
          </w:tcPr>
          <w:p w14:paraId="7614EB49" w14:textId="77777777" w:rsidR="00914E26" w:rsidRPr="00C12464" w:rsidRDefault="00914E26" w:rsidP="00914E26">
            <w:pPr>
              <w:pStyle w:val="Tabletext"/>
            </w:pPr>
          </w:p>
        </w:tc>
      </w:tr>
      <w:tr w:rsidR="005E4659" w:rsidRPr="00C12464" w14:paraId="43EE0388" w14:textId="77777777" w:rsidTr="005E4659">
        <w:trPr>
          <w:trHeight w:val="851"/>
        </w:trPr>
        <w:tc>
          <w:tcPr>
            <w:tcW w:w="1908" w:type="dxa"/>
            <w:vAlign w:val="center"/>
          </w:tcPr>
          <w:p w14:paraId="7DB0FA96" w14:textId="77777777" w:rsidR="00914E26" w:rsidRPr="00C12464" w:rsidRDefault="00914E26" w:rsidP="00914E26">
            <w:pPr>
              <w:pStyle w:val="Tabletext"/>
            </w:pPr>
          </w:p>
        </w:tc>
        <w:tc>
          <w:tcPr>
            <w:tcW w:w="3576" w:type="dxa"/>
            <w:vAlign w:val="center"/>
          </w:tcPr>
          <w:p w14:paraId="098A5B29" w14:textId="77777777" w:rsidR="00914E26" w:rsidRPr="00C12464" w:rsidRDefault="00914E26" w:rsidP="00914E26">
            <w:pPr>
              <w:pStyle w:val="Tabletext"/>
            </w:pPr>
          </w:p>
        </w:tc>
        <w:tc>
          <w:tcPr>
            <w:tcW w:w="5001" w:type="dxa"/>
            <w:vAlign w:val="center"/>
          </w:tcPr>
          <w:p w14:paraId="1BD7E161" w14:textId="77777777" w:rsidR="00914E26" w:rsidRPr="00C12464" w:rsidRDefault="00914E26" w:rsidP="00914E26">
            <w:pPr>
              <w:pStyle w:val="Tabletext"/>
            </w:pPr>
          </w:p>
        </w:tc>
      </w:tr>
      <w:tr w:rsidR="005E4659" w:rsidRPr="00C12464" w14:paraId="73C40370" w14:textId="77777777" w:rsidTr="005E4659">
        <w:trPr>
          <w:trHeight w:val="851"/>
        </w:trPr>
        <w:tc>
          <w:tcPr>
            <w:tcW w:w="1908" w:type="dxa"/>
            <w:vAlign w:val="center"/>
          </w:tcPr>
          <w:p w14:paraId="1D0A4237" w14:textId="77777777" w:rsidR="00914E26" w:rsidRPr="00C12464" w:rsidRDefault="00914E26" w:rsidP="00914E26">
            <w:pPr>
              <w:pStyle w:val="Tabletext"/>
            </w:pPr>
          </w:p>
        </w:tc>
        <w:tc>
          <w:tcPr>
            <w:tcW w:w="3576" w:type="dxa"/>
            <w:vAlign w:val="center"/>
          </w:tcPr>
          <w:p w14:paraId="2D9AE83C" w14:textId="77777777" w:rsidR="00914E26" w:rsidRPr="00C12464" w:rsidRDefault="00914E26" w:rsidP="00914E26">
            <w:pPr>
              <w:pStyle w:val="Tabletext"/>
            </w:pPr>
          </w:p>
        </w:tc>
        <w:tc>
          <w:tcPr>
            <w:tcW w:w="5001" w:type="dxa"/>
            <w:vAlign w:val="center"/>
          </w:tcPr>
          <w:p w14:paraId="2ACC1EBD" w14:textId="77777777" w:rsidR="00914E26" w:rsidRPr="00C12464" w:rsidRDefault="00914E26" w:rsidP="00914E26">
            <w:pPr>
              <w:pStyle w:val="Tabletext"/>
            </w:pPr>
          </w:p>
        </w:tc>
      </w:tr>
      <w:tr w:rsidR="005E4659" w:rsidRPr="00C12464" w14:paraId="50D639EB" w14:textId="77777777" w:rsidTr="005E4659">
        <w:trPr>
          <w:trHeight w:val="851"/>
        </w:trPr>
        <w:tc>
          <w:tcPr>
            <w:tcW w:w="1908" w:type="dxa"/>
            <w:vAlign w:val="center"/>
          </w:tcPr>
          <w:p w14:paraId="41C4C42B" w14:textId="77777777" w:rsidR="00914E26" w:rsidRPr="00C12464" w:rsidRDefault="00914E26" w:rsidP="00914E26">
            <w:pPr>
              <w:pStyle w:val="Tabletext"/>
            </w:pPr>
          </w:p>
        </w:tc>
        <w:tc>
          <w:tcPr>
            <w:tcW w:w="3576" w:type="dxa"/>
            <w:vAlign w:val="center"/>
          </w:tcPr>
          <w:p w14:paraId="34A66F6D" w14:textId="77777777" w:rsidR="00914E26" w:rsidRPr="00C12464" w:rsidRDefault="00914E26" w:rsidP="00914E26">
            <w:pPr>
              <w:pStyle w:val="Tabletext"/>
            </w:pPr>
          </w:p>
        </w:tc>
        <w:tc>
          <w:tcPr>
            <w:tcW w:w="5001" w:type="dxa"/>
            <w:vAlign w:val="center"/>
          </w:tcPr>
          <w:p w14:paraId="700D7F36" w14:textId="77777777" w:rsidR="00914E26" w:rsidRPr="00C12464" w:rsidRDefault="00914E26" w:rsidP="00914E26">
            <w:pPr>
              <w:pStyle w:val="Tabletext"/>
            </w:pPr>
          </w:p>
        </w:tc>
      </w:tr>
      <w:tr w:rsidR="005E4659" w:rsidRPr="00C12464" w14:paraId="77E709EA" w14:textId="77777777" w:rsidTr="005E4659">
        <w:trPr>
          <w:trHeight w:val="851"/>
        </w:trPr>
        <w:tc>
          <w:tcPr>
            <w:tcW w:w="1908" w:type="dxa"/>
            <w:vAlign w:val="center"/>
          </w:tcPr>
          <w:p w14:paraId="4578DD96" w14:textId="77777777" w:rsidR="00914E26" w:rsidRPr="00C12464" w:rsidRDefault="00914E26" w:rsidP="00914E26">
            <w:pPr>
              <w:pStyle w:val="Tabletext"/>
            </w:pPr>
          </w:p>
        </w:tc>
        <w:tc>
          <w:tcPr>
            <w:tcW w:w="3576" w:type="dxa"/>
            <w:vAlign w:val="center"/>
          </w:tcPr>
          <w:p w14:paraId="48D9AEF0" w14:textId="77777777" w:rsidR="00914E26" w:rsidRPr="00C12464" w:rsidRDefault="00914E26" w:rsidP="00914E26">
            <w:pPr>
              <w:pStyle w:val="Tabletext"/>
            </w:pPr>
          </w:p>
        </w:tc>
        <w:tc>
          <w:tcPr>
            <w:tcW w:w="5001" w:type="dxa"/>
            <w:vAlign w:val="center"/>
          </w:tcPr>
          <w:p w14:paraId="62191928" w14:textId="77777777" w:rsidR="00914E26" w:rsidRPr="00C12464" w:rsidRDefault="00914E26" w:rsidP="00914E26">
            <w:pPr>
              <w:pStyle w:val="Tabletext"/>
            </w:pPr>
          </w:p>
        </w:tc>
      </w:tr>
      <w:tr w:rsidR="005E4659" w:rsidRPr="00C12464" w14:paraId="5CE7C674" w14:textId="77777777" w:rsidTr="005E4659">
        <w:trPr>
          <w:trHeight w:val="851"/>
        </w:trPr>
        <w:tc>
          <w:tcPr>
            <w:tcW w:w="1908" w:type="dxa"/>
            <w:vAlign w:val="center"/>
          </w:tcPr>
          <w:p w14:paraId="458C1F89" w14:textId="77777777" w:rsidR="00914E26" w:rsidRPr="00C12464" w:rsidRDefault="00914E26" w:rsidP="00914E26">
            <w:pPr>
              <w:pStyle w:val="Tabletext"/>
            </w:pPr>
          </w:p>
        </w:tc>
        <w:tc>
          <w:tcPr>
            <w:tcW w:w="3576" w:type="dxa"/>
            <w:vAlign w:val="center"/>
          </w:tcPr>
          <w:p w14:paraId="2BA2AD74" w14:textId="77777777" w:rsidR="00914E26" w:rsidRPr="00C12464" w:rsidRDefault="00914E26" w:rsidP="00914E26">
            <w:pPr>
              <w:pStyle w:val="Tabletext"/>
            </w:pPr>
          </w:p>
        </w:tc>
        <w:tc>
          <w:tcPr>
            <w:tcW w:w="5001" w:type="dxa"/>
            <w:vAlign w:val="center"/>
          </w:tcPr>
          <w:p w14:paraId="1AE4F716" w14:textId="77777777" w:rsidR="00914E26" w:rsidRPr="00C12464" w:rsidRDefault="00914E26" w:rsidP="00914E26">
            <w:pPr>
              <w:pStyle w:val="Tabletext"/>
            </w:pPr>
          </w:p>
        </w:tc>
      </w:tr>
    </w:tbl>
    <w:p w14:paraId="429097EE" w14:textId="77777777" w:rsidR="005E4659" w:rsidRPr="00C12464" w:rsidRDefault="005E4659" w:rsidP="00914E26">
      <w:pPr>
        <w:spacing w:after="200" w:line="276" w:lineRule="auto"/>
        <w:sectPr w:rsidR="005E4659" w:rsidRPr="00C12464" w:rsidSect="00111E0A">
          <w:headerReference w:type="default" r:id="rId10"/>
          <w:footerReference w:type="default" r:id="rId11"/>
          <w:pgSz w:w="11906" w:h="16838" w:code="9"/>
          <w:pgMar w:top="567" w:right="794" w:bottom="567" w:left="907" w:header="567" w:footer="850" w:gutter="0"/>
          <w:cols w:space="708"/>
          <w:docGrid w:linePitch="360"/>
        </w:sectPr>
      </w:pPr>
    </w:p>
    <w:p w14:paraId="169CB87E" w14:textId="2A28D072" w:rsidR="001B7940" w:rsidRPr="00C12464" w:rsidRDefault="001B7940" w:rsidP="001B7940">
      <w:pPr>
        <w:pStyle w:val="THECOUNCIL"/>
      </w:pPr>
      <w:bookmarkStart w:id="5" w:name="_Toc442255952"/>
      <w:r w:rsidRPr="00C12464">
        <w:lastRenderedPageBreak/>
        <w:t xml:space="preserve">THE </w:t>
      </w:r>
      <w:r w:rsidR="00674A45" w:rsidRPr="00C12464">
        <w:t xml:space="preserve">IALA </w:t>
      </w:r>
      <w:r w:rsidRPr="00C12464">
        <w:t>COUNCIL</w:t>
      </w:r>
    </w:p>
    <w:p w14:paraId="36FA1828" w14:textId="7A77DEE1" w:rsidR="002470C9" w:rsidRDefault="00B855BC" w:rsidP="00B855BC">
      <w:pPr>
        <w:pStyle w:val="Noting"/>
        <w:rPr>
          <w:b/>
        </w:rPr>
      </w:pPr>
      <w:r w:rsidRPr="00C12464">
        <w:rPr>
          <w:b/>
        </w:rPr>
        <w:t>RECALLING</w:t>
      </w:r>
      <w:r w:rsidR="002470C9" w:rsidRPr="004A484C">
        <w:t xml:space="preserve"> the function of IALA with respect to Safety of Navigation, the efficiency of maritime transport and the protection of the environment,</w:t>
      </w:r>
    </w:p>
    <w:p w14:paraId="4AF5AA1A" w14:textId="57AF7022" w:rsidR="00B855BC" w:rsidRPr="00C12464" w:rsidRDefault="002470C9" w:rsidP="00B855BC">
      <w:pPr>
        <w:pStyle w:val="Noting"/>
        <w:rPr>
          <w:b/>
        </w:rPr>
      </w:pPr>
      <w:r>
        <w:rPr>
          <w:b/>
        </w:rPr>
        <w:t>RECALLING ALS</w:t>
      </w:r>
      <w:r w:rsidR="00D3120D">
        <w:rPr>
          <w:b/>
        </w:rPr>
        <w:t>O</w:t>
      </w:r>
      <w:r w:rsidR="00B855BC" w:rsidRPr="00C12464">
        <w:rPr>
          <w:b/>
        </w:rPr>
        <w:t xml:space="preserve"> </w:t>
      </w:r>
      <w:r w:rsidR="00674A45" w:rsidRPr="00C12464">
        <w:t>Article 8 of the IALA Constitution regarding the authority, duties and functions of the Council,</w:t>
      </w:r>
    </w:p>
    <w:p w14:paraId="327BB9C0" w14:textId="261B5205" w:rsidR="00B855BC" w:rsidRPr="00C12464" w:rsidRDefault="00B855BC" w:rsidP="00B855BC">
      <w:pPr>
        <w:pStyle w:val="Noting"/>
        <w:rPr>
          <w:b/>
        </w:rPr>
      </w:pPr>
      <w:r w:rsidRPr="00C12464">
        <w:rPr>
          <w:b/>
        </w:rPr>
        <w:t>RECOGNISING</w:t>
      </w:r>
      <w:r w:rsidRPr="00C12464">
        <w:t xml:space="preserve"> that </w:t>
      </w:r>
      <w:r w:rsidRPr="00C12464">
        <w:rPr>
          <w:rFonts w:eastAsia="Calibri"/>
          <w:lang w:eastAsia="en-GB"/>
        </w:rPr>
        <w:t>radar will continue to have an important role in hazard warning, spatial awareness and confirmation of position</w:t>
      </w:r>
      <w:r w:rsidR="00674A45" w:rsidRPr="00C12464">
        <w:rPr>
          <w:rFonts w:eastAsia="Calibri"/>
          <w:lang w:eastAsia="en-GB"/>
        </w:rPr>
        <w:t>,</w:t>
      </w:r>
    </w:p>
    <w:p w14:paraId="35C5074B" w14:textId="363D7310" w:rsidR="00B855BC" w:rsidRPr="00C12464" w:rsidRDefault="00B855BC" w:rsidP="00B855BC">
      <w:pPr>
        <w:pStyle w:val="Noting"/>
      </w:pPr>
      <w:r w:rsidRPr="00C12464">
        <w:rPr>
          <w:b/>
        </w:rPr>
        <w:t>RECOGNISING ALSO</w:t>
      </w:r>
      <w:r w:rsidRPr="00C12464">
        <w:t xml:space="preserve"> that a </w:t>
      </w:r>
      <w:proofErr w:type="spellStart"/>
      <w:r w:rsidRPr="00C12464">
        <w:t>Racon</w:t>
      </w:r>
      <w:proofErr w:type="spellEnd"/>
      <w:r w:rsidRPr="00C12464">
        <w:t xml:space="preserve"> service assists in position determination by providing a readily identifiable radar target</w:t>
      </w:r>
      <w:r w:rsidR="00674A45" w:rsidRPr="00C12464">
        <w:t>,</w:t>
      </w:r>
    </w:p>
    <w:p w14:paraId="62B588C2" w14:textId="70955B51" w:rsidR="00B855BC" w:rsidRPr="00C12464" w:rsidRDefault="00B855BC" w:rsidP="00B855BC">
      <w:pPr>
        <w:pStyle w:val="Noting"/>
        <w:rPr>
          <w:rFonts w:eastAsia="Calibri"/>
          <w:szCs w:val="22"/>
          <w:lang w:eastAsia="en-GB"/>
        </w:rPr>
      </w:pPr>
      <w:r w:rsidRPr="00C12464">
        <w:rPr>
          <w:b/>
        </w:rPr>
        <w:t>RECOGNISING FURTHER</w:t>
      </w:r>
      <w:r w:rsidRPr="00C12464">
        <w:t xml:space="preserve"> the </w:t>
      </w:r>
      <w:r w:rsidRPr="00C12464">
        <w:rPr>
          <w:rFonts w:eastAsia="Calibri"/>
          <w:szCs w:val="22"/>
          <w:lang w:eastAsia="en-GB"/>
        </w:rPr>
        <w:t>anticipated continuing requirement for Racons in the e-Navigation era</w:t>
      </w:r>
      <w:r w:rsidR="00674A45" w:rsidRPr="00C12464">
        <w:rPr>
          <w:rFonts w:eastAsia="Calibri"/>
          <w:szCs w:val="22"/>
          <w:lang w:eastAsia="en-GB"/>
        </w:rPr>
        <w:t>,</w:t>
      </w:r>
    </w:p>
    <w:p w14:paraId="694C6360" w14:textId="38B34CDD" w:rsidR="00B855BC" w:rsidRPr="00C12464" w:rsidRDefault="00B855BC" w:rsidP="00B855BC">
      <w:pPr>
        <w:pStyle w:val="Noting"/>
        <w:rPr>
          <w:rFonts w:eastAsia="Calibri" w:cs="Calibri"/>
          <w:szCs w:val="22"/>
          <w:lang w:eastAsia="en-GB"/>
        </w:rPr>
      </w:pPr>
      <w:r w:rsidRPr="00C12464">
        <w:rPr>
          <w:b/>
        </w:rPr>
        <w:t>NOTING</w:t>
      </w:r>
      <w:r w:rsidRPr="00C12464">
        <w:t xml:space="preserve"> that</w:t>
      </w:r>
      <w:r w:rsidRPr="00C12464">
        <w:rPr>
          <w:rFonts w:eastAsia="Calibri" w:cs="Calibri"/>
          <w:szCs w:val="22"/>
          <w:lang w:eastAsia="en-GB"/>
        </w:rPr>
        <w:t xml:space="preserve"> IMO have approved new radar performance standards which from 1 July 2008 removed the requirement for S-Band radars to trigger Racons</w:t>
      </w:r>
      <w:r w:rsidR="00674A45" w:rsidRPr="00C12464">
        <w:rPr>
          <w:rFonts w:eastAsia="Calibri" w:cs="Calibri"/>
          <w:szCs w:val="22"/>
          <w:lang w:eastAsia="en-GB"/>
        </w:rPr>
        <w:t>,</w:t>
      </w:r>
    </w:p>
    <w:p w14:paraId="328D3F1B" w14:textId="62F09E65" w:rsidR="00B855BC" w:rsidRPr="00C12464" w:rsidRDefault="00B855BC" w:rsidP="00B855BC">
      <w:pPr>
        <w:pStyle w:val="Noting"/>
      </w:pPr>
      <w:r w:rsidRPr="00C12464">
        <w:rPr>
          <w:b/>
        </w:rPr>
        <w:t xml:space="preserve">NOTING ALSO </w:t>
      </w:r>
      <w:r w:rsidRPr="00C12464">
        <w:t xml:space="preserve">that New Technology (NT) S-Band radars offer </w:t>
      </w:r>
      <w:r w:rsidRPr="00C12464">
        <w:rPr>
          <w:rFonts w:eastAsia="Calibri" w:cs="Calibri"/>
          <w:szCs w:val="22"/>
          <w:lang w:eastAsia="en-GB"/>
        </w:rPr>
        <w:t xml:space="preserve">benefits of improved radar detection performance </w:t>
      </w:r>
      <w:r w:rsidRPr="00C12464">
        <w:t>utilising lower peak power than conventional radar</w:t>
      </w:r>
      <w:r w:rsidR="00674A45" w:rsidRPr="00C12464">
        <w:t>,</w:t>
      </w:r>
    </w:p>
    <w:p w14:paraId="3100D333" w14:textId="398C5541" w:rsidR="002470C9" w:rsidRDefault="00B855BC" w:rsidP="00B855BC">
      <w:pPr>
        <w:pStyle w:val="Noting"/>
      </w:pPr>
      <w:r w:rsidRPr="00C12464">
        <w:rPr>
          <w:b/>
        </w:rPr>
        <w:t>NOTING FURTHER</w:t>
      </w:r>
      <w:r w:rsidR="002470C9">
        <w:t xml:space="preserve"> that</w:t>
      </w:r>
      <w:r w:rsidR="00D3120D">
        <w:t>:</w:t>
      </w:r>
    </w:p>
    <w:p w14:paraId="6FBAB17E" w14:textId="07B312B7" w:rsidR="00B855BC" w:rsidRPr="00C12464" w:rsidRDefault="00B855BC" w:rsidP="002470C9">
      <w:pPr>
        <w:pStyle w:val="List1-recommendation"/>
      </w:pPr>
      <w:r w:rsidRPr="00C12464">
        <w:t>S-Band NT radars are being offered by manufacturers and are being fitted on ships</w:t>
      </w:r>
      <w:r w:rsidR="00674A45" w:rsidRPr="00C12464">
        <w:t>,</w:t>
      </w:r>
    </w:p>
    <w:p w14:paraId="683821F0" w14:textId="7BE19905" w:rsidR="00B855BC" w:rsidRPr="00C12464" w:rsidRDefault="00B855BC" w:rsidP="002470C9">
      <w:pPr>
        <w:pStyle w:val="List1-recommendation"/>
      </w:pPr>
      <w:r w:rsidRPr="00C12464">
        <w:rPr>
          <w:rFonts w:eastAsia="Calibri" w:cs="Calibri"/>
          <w:lang w:eastAsia="en-GB"/>
        </w:rPr>
        <w:t>IMO continues to recognize the importance of Racons as an aid to navigation</w:t>
      </w:r>
      <w:r w:rsidR="00674A45" w:rsidRPr="00C12464">
        <w:rPr>
          <w:rFonts w:eastAsia="Calibri" w:cs="Calibri"/>
          <w:lang w:eastAsia="en-GB"/>
        </w:rPr>
        <w:t>,</w:t>
      </w:r>
    </w:p>
    <w:p w14:paraId="4C7AD512" w14:textId="18B84AE8" w:rsidR="00B855BC" w:rsidRPr="00C12464" w:rsidRDefault="00B855BC" w:rsidP="002470C9">
      <w:pPr>
        <w:pStyle w:val="List1-recommendation"/>
      </w:pPr>
      <w:r w:rsidRPr="00C12464">
        <w:t>National Members and other appropriate Authorities</w:t>
      </w:r>
      <w:r w:rsidRPr="00C12464">
        <w:rPr>
          <w:b/>
        </w:rPr>
        <w:t xml:space="preserve"> </w:t>
      </w:r>
      <w:r w:rsidRPr="00C12464">
        <w:t xml:space="preserve">wish to maintain their </w:t>
      </w:r>
      <w:proofErr w:type="spellStart"/>
      <w:r w:rsidRPr="00C12464">
        <w:t>Racon</w:t>
      </w:r>
      <w:proofErr w:type="spellEnd"/>
      <w:r w:rsidRPr="00C12464">
        <w:t xml:space="preserve"> service capability, and the benefits to navigation that accrue from these services</w:t>
      </w:r>
      <w:r w:rsidR="00674A45" w:rsidRPr="00C12464">
        <w:t>,</w:t>
      </w:r>
    </w:p>
    <w:p w14:paraId="5CB29455" w14:textId="5A5379BC" w:rsidR="005339D4" w:rsidRPr="00C12464" w:rsidRDefault="005339D4" w:rsidP="00B855BC">
      <w:pPr>
        <w:pStyle w:val="Noting"/>
        <w:rPr>
          <w:b/>
        </w:rPr>
      </w:pPr>
      <w:r w:rsidRPr="00C12464">
        <w:rPr>
          <w:b/>
        </w:rPr>
        <w:t>CONSIDER</w:t>
      </w:r>
      <w:r w:rsidR="002470C9">
        <w:rPr>
          <w:b/>
        </w:rPr>
        <w:t>ING</w:t>
      </w:r>
      <w:r w:rsidRPr="00C12464">
        <w:rPr>
          <w:b/>
        </w:rPr>
        <w:t xml:space="preserve"> </w:t>
      </w:r>
      <w:r w:rsidRPr="00C12464">
        <w:t xml:space="preserve">the </w:t>
      </w:r>
      <w:r w:rsidR="002470C9">
        <w:t>proposals</w:t>
      </w:r>
      <w:r w:rsidRPr="00C12464">
        <w:t xml:space="preserve"> of the </w:t>
      </w:r>
      <w:r w:rsidR="00992B37">
        <w:t xml:space="preserve">IALA </w:t>
      </w:r>
      <w:r w:rsidR="0089777F" w:rsidRPr="00C12464">
        <w:t>e-</w:t>
      </w:r>
      <w:r w:rsidRPr="00C12464">
        <w:t>Navigation Committee,</w:t>
      </w:r>
    </w:p>
    <w:p w14:paraId="1F4CE80F" w14:textId="38AFE1DC" w:rsidR="00B855BC" w:rsidRPr="00C12464" w:rsidRDefault="00B855BC" w:rsidP="00B855BC">
      <w:pPr>
        <w:pStyle w:val="Noting"/>
      </w:pPr>
      <w:r w:rsidRPr="00C12464">
        <w:rPr>
          <w:b/>
        </w:rPr>
        <w:t>ADOPTS</w:t>
      </w:r>
      <w:r w:rsidRPr="00C12464">
        <w:t xml:space="preserve"> </w:t>
      </w:r>
      <w:r w:rsidR="00674A45" w:rsidRPr="00C12464">
        <w:t xml:space="preserve">the </w:t>
      </w:r>
      <w:r w:rsidR="002470C9">
        <w:t xml:space="preserve">Recommendation on </w:t>
      </w:r>
      <w:r w:rsidR="00674A45" w:rsidRPr="00C12464">
        <w:t xml:space="preserve">principles relating to Maintaining </w:t>
      </w:r>
      <w:proofErr w:type="spellStart"/>
      <w:r w:rsidR="00674A45" w:rsidRPr="00C12464">
        <w:t>Racon</w:t>
      </w:r>
      <w:proofErr w:type="spellEnd"/>
      <w:r w:rsidR="00674A45" w:rsidRPr="00C12464">
        <w:t xml:space="preserve"> Service Capability as </w:t>
      </w:r>
      <w:r w:rsidR="002470C9">
        <w:t>described below</w:t>
      </w:r>
      <w:r w:rsidR="00674A45" w:rsidRPr="00C12464">
        <w:t xml:space="preserve"> and the </w:t>
      </w:r>
      <w:r w:rsidRPr="00C12464">
        <w:t xml:space="preserve">strategy </w:t>
      </w:r>
      <w:r w:rsidR="00674A45" w:rsidRPr="00C12464">
        <w:t>as set out in</w:t>
      </w:r>
      <w:r w:rsidRPr="00C12464">
        <w:t xml:space="preserve"> </w:t>
      </w:r>
      <w:r w:rsidR="00576F4A" w:rsidRPr="00C12464">
        <w:fldChar w:fldCharType="begin"/>
      </w:r>
      <w:r w:rsidR="00576F4A" w:rsidRPr="00C12464">
        <w:instrText xml:space="preserve"> REF _Ref445215595 \r \h </w:instrText>
      </w:r>
      <w:r w:rsidR="00576F4A" w:rsidRPr="00C12464">
        <w:fldChar w:fldCharType="separate"/>
      </w:r>
      <w:r w:rsidR="00576F4A" w:rsidRPr="00C12464">
        <w:t>ANNEX A</w:t>
      </w:r>
      <w:r w:rsidR="00576F4A" w:rsidRPr="00C12464">
        <w:fldChar w:fldCharType="end"/>
      </w:r>
      <w:r w:rsidR="00674A45" w:rsidRPr="00C12464">
        <w:t>,</w:t>
      </w:r>
    </w:p>
    <w:p w14:paraId="4C8A12BC" w14:textId="38F4BA67" w:rsidR="008E59A3" w:rsidRDefault="0089777F" w:rsidP="00B855BC">
      <w:pPr>
        <w:pStyle w:val="Noting"/>
      </w:pPr>
      <w:r w:rsidRPr="00992B37">
        <w:rPr>
          <w:b/>
        </w:rPr>
        <w:t>INVITES</w:t>
      </w:r>
      <w:r w:rsidRPr="00C12464">
        <w:rPr>
          <w:b/>
        </w:rPr>
        <w:t xml:space="preserve"> </w:t>
      </w:r>
      <w:r w:rsidR="00B855BC" w:rsidRPr="00C12464">
        <w:t xml:space="preserve">National Members and other appropriate Authorities providing marine aids to navigation services </w:t>
      </w:r>
      <w:r w:rsidR="002470C9">
        <w:t xml:space="preserve">to </w:t>
      </w:r>
      <w:r w:rsidR="00B855BC" w:rsidRPr="00C12464">
        <w:t xml:space="preserve">follow the strategy as detailed in section </w:t>
      </w:r>
      <w:r w:rsidR="006C3E3B" w:rsidRPr="00C12464">
        <w:fldChar w:fldCharType="begin"/>
      </w:r>
      <w:r w:rsidR="006C3E3B" w:rsidRPr="00C12464">
        <w:instrText xml:space="preserve"> REF _Ref445215356 \r \h  \* MERGEFORMAT </w:instrText>
      </w:r>
      <w:r w:rsidR="006C3E3B" w:rsidRPr="00C12464">
        <w:fldChar w:fldCharType="separate"/>
      </w:r>
      <w:r w:rsidR="006C3E3B" w:rsidRPr="00C12464">
        <w:t>A 6</w:t>
      </w:r>
      <w:r w:rsidR="006C3E3B" w:rsidRPr="00C12464">
        <w:fldChar w:fldCharType="end"/>
      </w:r>
      <w:r w:rsidR="00B855BC" w:rsidRPr="00C12464">
        <w:t xml:space="preserve"> of the Annex.</w:t>
      </w:r>
      <w:bookmarkStart w:id="6" w:name="_Ref361228803"/>
      <w:bookmarkStart w:id="7" w:name="_Toc359496675"/>
      <w:bookmarkEnd w:id="5"/>
      <w:bookmarkEnd w:id="6"/>
      <w:bookmarkEnd w:id="7"/>
    </w:p>
    <w:p w14:paraId="1F9FC7EE" w14:textId="0954D57B" w:rsidR="002470C9" w:rsidRPr="00C12464" w:rsidRDefault="002470C9" w:rsidP="00B855BC">
      <w:pPr>
        <w:pStyle w:val="Noting"/>
      </w:pPr>
      <w:r>
        <w:rPr>
          <w:b/>
        </w:rPr>
        <w:t xml:space="preserve">RECOMMENDS </w:t>
      </w:r>
      <w:r w:rsidRPr="00460028">
        <w:t xml:space="preserve">National </w:t>
      </w:r>
      <w:r>
        <w:t>m</w:t>
      </w:r>
      <w:r w:rsidRPr="00460028">
        <w:t>embers and other appropriate Authorities providing mar</w:t>
      </w:r>
      <w:r>
        <w:t>ine aids to navigation services comply with</w:t>
      </w:r>
      <w:r w:rsidR="00D3120D">
        <w:t xml:space="preserve"> the </w:t>
      </w:r>
      <w:r w:rsidR="00D3120D" w:rsidRPr="00C12464">
        <w:t xml:space="preserve">principles relating to Maintaining </w:t>
      </w:r>
      <w:proofErr w:type="spellStart"/>
      <w:r w:rsidR="00D3120D" w:rsidRPr="00C12464">
        <w:t>Racon</w:t>
      </w:r>
      <w:proofErr w:type="spellEnd"/>
      <w:r w:rsidR="00D3120D" w:rsidRPr="00C12464">
        <w:t xml:space="preserve"> Service Capability as </w:t>
      </w:r>
      <w:r w:rsidR="00D3120D">
        <w:t>described below</w:t>
      </w:r>
      <w:r w:rsidR="00D3120D" w:rsidRPr="00C12464">
        <w:t xml:space="preserve"> and the strategy as set out in</w:t>
      </w:r>
      <w:r w:rsidR="00D3120D">
        <w:t xml:space="preserve"> </w:t>
      </w:r>
      <w:r w:rsidR="00D3120D">
        <w:fldChar w:fldCharType="begin"/>
      </w:r>
      <w:r w:rsidR="00D3120D">
        <w:instrText xml:space="preserve"> REF _Ref468204468 \r \h </w:instrText>
      </w:r>
      <w:r w:rsidR="00D3120D">
        <w:fldChar w:fldCharType="separate"/>
      </w:r>
      <w:r w:rsidR="00D3120D">
        <w:t>ANNEX A</w:t>
      </w:r>
      <w:r w:rsidR="00D3120D">
        <w:fldChar w:fldCharType="end"/>
      </w:r>
      <w:r w:rsidR="00D3120D" w:rsidRPr="00C12464">
        <w:t>,</w:t>
      </w:r>
    </w:p>
    <w:p w14:paraId="1F755F03" w14:textId="4F72092F" w:rsidR="0089777F" w:rsidRPr="00C12464" w:rsidRDefault="0089777F" w:rsidP="00B855BC">
      <w:pPr>
        <w:pStyle w:val="Noting"/>
      </w:pPr>
      <w:r w:rsidRPr="00C12464">
        <w:rPr>
          <w:b/>
        </w:rPr>
        <w:t>REQUESTS</w:t>
      </w:r>
      <w:r w:rsidRPr="00C12464">
        <w:t xml:space="preserve"> the </w:t>
      </w:r>
      <w:r w:rsidR="00992B37">
        <w:t xml:space="preserve">IALA </w:t>
      </w:r>
      <w:r w:rsidRPr="00C12464">
        <w:t>e-Navigation Committee</w:t>
      </w:r>
      <w:r w:rsidR="002470C9">
        <w:t xml:space="preserve"> or such other committee as the Council may direct to keep the Recommendation under review and to propose amendments as necessary.</w:t>
      </w:r>
    </w:p>
    <w:p w14:paraId="76FF9AB3" w14:textId="77777777" w:rsidR="00DD3E15" w:rsidRPr="00C12464" w:rsidRDefault="00DD3E15" w:rsidP="00B855BC">
      <w:pPr>
        <w:pStyle w:val="Noting"/>
      </w:pPr>
    </w:p>
    <w:p w14:paraId="7704C45B" w14:textId="77777777" w:rsidR="00DD3E15" w:rsidRPr="00C12464" w:rsidRDefault="00DD3E15" w:rsidP="00B855BC">
      <w:pPr>
        <w:pStyle w:val="BodyText"/>
        <w:sectPr w:rsidR="00DD3E15" w:rsidRPr="00C12464" w:rsidSect="0083218D">
          <w:headerReference w:type="default" r:id="rId12"/>
          <w:pgSz w:w="11906" w:h="16838" w:code="9"/>
          <w:pgMar w:top="567" w:right="794" w:bottom="567" w:left="907" w:header="850" w:footer="850" w:gutter="0"/>
          <w:cols w:space="708"/>
          <w:docGrid w:linePitch="360"/>
        </w:sectPr>
      </w:pPr>
    </w:p>
    <w:p w14:paraId="2057A163" w14:textId="71EB9D77" w:rsidR="00B855BC" w:rsidRPr="00C12464" w:rsidRDefault="00B855BC" w:rsidP="00B855BC">
      <w:pPr>
        <w:pStyle w:val="BodyText"/>
      </w:pPr>
    </w:p>
    <w:p w14:paraId="25D90F79" w14:textId="77777777" w:rsidR="00322488" w:rsidRPr="00C12464" w:rsidRDefault="00757050">
      <w:pPr>
        <w:pStyle w:val="TOC1"/>
        <w:tabs>
          <w:tab w:val="left" w:pos="1134"/>
        </w:tabs>
        <w:rPr>
          <w:rFonts w:eastAsiaTheme="minorEastAsia"/>
          <w:b w:val="0"/>
          <w:noProof w:val="0"/>
          <w:color w:val="auto"/>
          <w:sz w:val="24"/>
          <w:szCs w:val="24"/>
        </w:rPr>
      </w:pPr>
      <w:r w:rsidRPr="00C12464">
        <w:rPr>
          <w:b w:val="0"/>
          <w:noProof w:val="0"/>
        </w:rPr>
        <w:fldChar w:fldCharType="begin"/>
      </w:r>
      <w:r w:rsidRPr="00C12464">
        <w:rPr>
          <w:b w:val="0"/>
          <w:noProof w:val="0"/>
        </w:rPr>
        <w:instrText xml:space="preserve"> TOC \o "1-3" \t "Annex,1,Annex A Head 1,1,Annex A Head 2,2,Annex A Head 3,3,APPENDIX,5" </w:instrText>
      </w:r>
      <w:r w:rsidRPr="00C12464">
        <w:rPr>
          <w:b w:val="0"/>
          <w:noProof w:val="0"/>
        </w:rPr>
        <w:fldChar w:fldCharType="separate"/>
      </w:r>
      <w:r w:rsidR="00322488" w:rsidRPr="00C12464">
        <w:rPr>
          <w:noProof w:val="0"/>
          <w:u w:color="407EDA"/>
        </w:rPr>
        <w:t>ANNEX A</w:t>
      </w:r>
      <w:r w:rsidR="00322488" w:rsidRPr="00C12464">
        <w:rPr>
          <w:rFonts w:eastAsiaTheme="minorEastAsia"/>
          <w:b w:val="0"/>
          <w:noProof w:val="0"/>
          <w:color w:val="auto"/>
          <w:sz w:val="24"/>
          <w:szCs w:val="24"/>
        </w:rPr>
        <w:tab/>
      </w:r>
      <w:r w:rsidR="00322488" w:rsidRPr="00C12464">
        <w:rPr>
          <w:noProof w:val="0"/>
        </w:rPr>
        <w:t>STRATEGY FOR MAINTAINING RACON SERVICE CAPABILITY</w:t>
      </w:r>
      <w:r w:rsidR="00322488" w:rsidRPr="00C12464">
        <w:rPr>
          <w:noProof w:val="0"/>
        </w:rPr>
        <w:tab/>
      </w:r>
      <w:r w:rsidR="00322488" w:rsidRPr="00C12464">
        <w:rPr>
          <w:noProof w:val="0"/>
        </w:rPr>
        <w:fldChar w:fldCharType="begin"/>
      </w:r>
      <w:r w:rsidR="00322488" w:rsidRPr="00C12464">
        <w:rPr>
          <w:noProof w:val="0"/>
        </w:rPr>
        <w:instrText xml:space="preserve"> PAGEREF _Toc445221020 \h </w:instrText>
      </w:r>
      <w:r w:rsidR="00322488" w:rsidRPr="00C12464">
        <w:rPr>
          <w:noProof w:val="0"/>
        </w:rPr>
      </w:r>
      <w:r w:rsidR="00322488" w:rsidRPr="00C12464">
        <w:rPr>
          <w:noProof w:val="0"/>
        </w:rPr>
        <w:fldChar w:fldCharType="separate"/>
      </w:r>
      <w:r w:rsidR="00322488" w:rsidRPr="00C12464">
        <w:rPr>
          <w:noProof w:val="0"/>
        </w:rPr>
        <w:t>5</w:t>
      </w:r>
      <w:r w:rsidR="00322488" w:rsidRPr="00C12464">
        <w:rPr>
          <w:noProof w:val="0"/>
        </w:rPr>
        <w:fldChar w:fldCharType="end"/>
      </w:r>
    </w:p>
    <w:p w14:paraId="13335E77" w14:textId="77777777" w:rsidR="00322488" w:rsidRPr="00C12464" w:rsidRDefault="00322488">
      <w:pPr>
        <w:pStyle w:val="TOC1"/>
        <w:rPr>
          <w:rFonts w:eastAsiaTheme="minorEastAsia"/>
          <w:b w:val="0"/>
          <w:noProof w:val="0"/>
          <w:color w:val="auto"/>
          <w:sz w:val="24"/>
          <w:szCs w:val="24"/>
        </w:rPr>
      </w:pPr>
      <w:r w:rsidRPr="00C12464">
        <w:rPr>
          <w:noProof w:val="0"/>
        </w:rPr>
        <w:t>A 1.</w:t>
      </w:r>
      <w:r w:rsidRPr="00C12464">
        <w:rPr>
          <w:rFonts w:eastAsiaTheme="minorEastAsia"/>
          <w:b w:val="0"/>
          <w:noProof w:val="0"/>
          <w:color w:val="auto"/>
          <w:sz w:val="24"/>
          <w:szCs w:val="24"/>
        </w:rPr>
        <w:tab/>
      </w:r>
      <w:r w:rsidRPr="00C12464">
        <w:rPr>
          <w:noProof w:val="0"/>
        </w:rPr>
        <w:t>INTRODUCTION</w:t>
      </w:r>
      <w:r w:rsidRPr="00C12464">
        <w:rPr>
          <w:noProof w:val="0"/>
        </w:rPr>
        <w:tab/>
      </w:r>
      <w:r w:rsidRPr="00C12464">
        <w:rPr>
          <w:noProof w:val="0"/>
        </w:rPr>
        <w:fldChar w:fldCharType="begin"/>
      </w:r>
      <w:r w:rsidRPr="00C12464">
        <w:rPr>
          <w:noProof w:val="0"/>
        </w:rPr>
        <w:instrText xml:space="preserve"> PAGEREF _Toc445221021 \h </w:instrText>
      </w:r>
      <w:r w:rsidRPr="00C12464">
        <w:rPr>
          <w:noProof w:val="0"/>
        </w:rPr>
      </w:r>
      <w:r w:rsidRPr="00C12464">
        <w:rPr>
          <w:noProof w:val="0"/>
        </w:rPr>
        <w:fldChar w:fldCharType="separate"/>
      </w:r>
      <w:r w:rsidRPr="00C12464">
        <w:rPr>
          <w:noProof w:val="0"/>
        </w:rPr>
        <w:t>5</w:t>
      </w:r>
      <w:r w:rsidRPr="00C12464">
        <w:rPr>
          <w:noProof w:val="0"/>
        </w:rPr>
        <w:fldChar w:fldCharType="end"/>
      </w:r>
    </w:p>
    <w:p w14:paraId="34BBB5FA" w14:textId="77777777" w:rsidR="00322488" w:rsidRPr="00C12464" w:rsidRDefault="00322488">
      <w:pPr>
        <w:pStyle w:val="TOC1"/>
        <w:rPr>
          <w:rFonts w:eastAsiaTheme="minorEastAsia"/>
          <w:b w:val="0"/>
          <w:noProof w:val="0"/>
          <w:color w:val="auto"/>
          <w:sz w:val="24"/>
          <w:szCs w:val="24"/>
        </w:rPr>
      </w:pPr>
      <w:r w:rsidRPr="00C12464">
        <w:rPr>
          <w:noProof w:val="0"/>
        </w:rPr>
        <w:t>A 2.</w:t>
      </w:r>
      <w:r w:rsidRPr="00C12464">
        <w:rPr>
          <w:rFonts w:eastAsiaTheme="minorEastAsia"/>
          <w:b w:val="0"/>
          <w:noProof w:val="0"/>
          <w:color w:val="auto"/>
          <w:sz w:val="24"/>
          <w:szCs w:val="24"/>
        </w:rPr>
        <w:tab/>
      </w:r>
      <w:r w:rsidRPr="00C12464">
        <w:rPr>
          <w:noProof w:val="0"/>
        </w:rPr>
        <w:t>PRESENT SITUATION</w:t>
      </w:r>
      <w:r w:rsidRPr="00C12464">
        <w:rPr>
          <w:noProof w:val="0"/>
        </w:rPr>
        <w:tab/>
      </w:r>
      <w:r w:rsidRPr="00C12464">
        <w:rPr>
          <w:noProof w:val="0"/>
        </w:rPr>
        <w:fldChar w:fldCharType="begin"/>
      </w:r>
      <w:r w:rsidRPr="00C12464">
        <w:rPr>
          <w:noProof w:val="0"/>
        </w:rPr>
        <w:instrText xml:space="preserve"> PAGEREF _Toc445221022 \h </w:instrText>
      </w:r>
      <w:r w:rsidRPr="00C12464">
        <w:rPr>
          <w:noProof w:val="0"/>
        </w:rPr>
      </w:r>
      <w:r w:rsidRPr="00C12464">
        <w:rPr>
          <w:noProof w:val="0"/>
        </w:rPr>
        <w:fldChar w:fldCharType="separate"/>
      </w:r>
      <w:r w:rsidRPr="00C12464">
        <w:rPr>
          <w:noProof w:val="0"/>
        </w:rPr>
        <w:t>5</w:t>
      </w:r>
      <w:r w:rsidRPr="00C12464">
        <w:rPr>
          <w:noProof w:val="0"/>
        </w:rPr>
        <w:fldChar w:fldCharType="end"/>
      </w:r>
    </w:p>
    <w:p w14:paraId="2040FAE2" w14:textId="77777777" w:rsidR="00322488" w:rsidRPr="00C12464" w:rsidRDefault="00322488">
      <w:pPr>
        <w:pStyle w:val="TOC1"/>
        <w:rPr>
          <w:rFonts w:eastAsiaTheme="minorEastAsia"/>
          <w:b w:val="0"/>
          <w:noProof w:val="0"/>
          <w:color w:val="auto"/>
          <w:sz w:val="24"/>
          <w:szCs w:val="24"/>
        </w:rPr>
      </w:pPr>
      <w:r w:rsidRPr="00C12464">
        <w:rPr>
          <w:noProof w:val="0"/>
        </w:rPr>
        <w:t>A 3.</w:t>
      </w:r>
      <w:r w:rsidRPr="00C12464">
        <w:rPr>
          <w:rFonts w:eastAsiaTheme="minorEastAsia"/>
          <w:b w:val="0"/>
          <w:noProof w:val="0"/>
          <w:color w:val="auto"/>
          <w:sz w:val="24"/>
          <w:szCs w:val="24"/>
        </w:rPr>
        <w:tab/>
      </w:r>
      <w:r w:rsidRPr="00C12464">
        <w:rPr>
          <w:noProof w:val="0"/>
        </w:rPr>
        <w:t>TECHNICAL BACKGROUND</w:t>
      </w:r>
      <w:r w:rsidRPr="00C12464">
        <w:rPr>
          <w:noProof w:val="0"/>
        </w:rPr>
        <w:tab/>
      </w:r>
      <w:r w:rsidRPr="00C12464">
        <w:rPr>
          <w:noProof w:val="0"/>
        </w:rPr>
        <w:fldChar w:fldCharType="begin"/>
      </w:r>
      <w:r w:rsidRPr="00C12464">
        <w:rPr>
          <w:noProof w:val="0"/>
        </w:rPr>
        <w:instrText xml:space="preserve"> PAGEREF _Toc445221023 \h </w:instrText>
      </w:r>
      <w:r w:rsidRPr="00C12464">
        <w:rPr>
          <w:noProof w:val="0"/>
        </w:rPr>
      </w:r>
      <w:r w:rsidRPr="00C12464">
        <w:rPr>
          <w:noProof w:val="0"/>
        </w:rPr>
        <w:fldChar w:fldCharType="separate"/>
      </w:r>
      <w:r w:rsidRPr="00C12464">
        <w:rPr>
          <w:noProof w:val="0"/>
        </w:rPr>
        <w:t>5</w:t>
      </w:r>
      <w:r w:rsidRPr="00C12464">
        <w:rPr>
          <w:noProof w:val="0"/>
        </w:rPr>
        <w:fldChar w:fldCharType="end"/>
      </w:r>
    </w:p>
    <w:p w14:paraId="77E57961" w14:textId="77777777" w:rsidR="00322488" w:rsidRPr="00C12464" w:rsidRDefault="00322488">
      <w:pPr>
        <w:pStyle w:val="TOC1"/>
        <w:rPr>
          <w:rFonts w:eastAsiaTheme="minorEastAsia"/>
          <w:b w:val="0"/>
          <w:noProof w:val="0"/>
          <w:color w:val="auto"/>
          <w:sz w:val="24"/>
          <w:szCs w:val="24"/>
        </w:rPr>
      </w:pPr>
      <w:r w:rsidRPr="00C12464">
        <w:rPr>
          <w:noProof w:val="0"/>
        </w:rPr>
        <w:t>A 4.</w:t>
      </w:r>
      <w:r w:rsidRPr="00C12464">
        <w:rPr>
          <w:rFonts w:eastAsiaTheme="minorEastAsia"/>
          <w:b w:val="0"/>
          <w:noProof w:val="0"/>
          <w:color w:val="auto"/>
          <w:sz w:val="24"/>
          <w:szCs w:val="24"/>
        </w:rPr>
        <w:tab/>
      </w:r>
      <w:r w:rsidRPr="00C12464">
        <w:rPr>
          <w:noProof w:val="0"/>
        </w:rPr>
        <w:t>THE ROLE OF RACONS</w:t>
      </w:r>
      <w:r w:rsidRPr="00C12464">
        <w:rPr>
          <w:noProof w:val="0"/>
        </w:rPr>
        <w:tab/>
      </w:r>
      <w:r w:rsidRPr="00C12464">
        <w:rPr>
          <w:noProof w:val="0"/>
        </w:rPr>
        <w:fldChar w:fldCharType="begin"/>
      </w:r>
      <w:r w:rsidRPr="00C12464">
        <w:rPr>
          <w:noProof w:val="0"/>
        </w:rPr>
        <w:instrText xml:space="preserve"> PAGEREF _Toc445221024 \h </w:instrText>
      </w:r>
      <w:r w:rsidRPr="00C12464">
        <w:rPr>
          <w:noProof w:val="0"/>
        </w:rPr>
      </w:r>
      <w:r w:rsidRPr="00C12464">
        <w:rPr>
          <w:noProof w:val="0"/>
        </w:rPr>
        <w:fldChar w:fldCharType="separate"/>
      </w:r>
      <w:r w:rsidRPr="00C12464">
        <w:rPr>
          <w:noProof w:val="0"/>
        </w:rPr>
        <w:t>6</w:t>
      </w:r>
      <w:r w:rsidRPr="00C12464">
        <w:rPr>
          <w:noProof w:val="0"/>
        </w:rPr>
        <w:fldChar w:fldCharType="end"/>
      </w:r>
    </w:p>
    <w:p w14:paraId="396E70CE" w14:textId="77777777" w:rsidR="00322488" w:rsidRPr="00C12464" w:rsidRDefault="00322488">
      <w:pPr>
        <w:pStyle w:val="TOC1"/>
        <w:rPr>
          <w:rFonts w:eastAsiaTheme="minorEastAsia"/>
          <w:b w:val="0"/>
          <w:noProof w:val="0"/>
          <w:color w:val="auto"/>
          <w:sz w:val="24"/>
          <w:szCs w:val="24"/>
        </w:rPr>
      </w:pPr>
      <w:r w:rsidRPr="00C12464">
        <w:rPr>
          <w:noProof w:val="0"/>
        </w:rPr>
        <w:t>A 5.</w:t>
      </w:r>
      <w:r w:rsidRPr="00C12464">
        <w:rPr>
          <w:rFonts w:eastAsiaTheme="minorEastAsia"/>
          <w:b w:val="0"/>
          <w:noProof w:val="0"/>
          <w:color w:val="auto"/>
          <w:sz w:val="24"/>
          <w:szCs w:val="24"/>
        </w:rPr>
        <w:tab/>
      </w:r>
      <w:r w:rsidRPr="00C12464">
        <w:rPr>
          <w:noProof w:val="0"/>
        </w:rPr>
        <w:t>OPTIONS FOR RACON SERVICES</w:t>
      </w:r>
      <w:r w:rsidRPr="00C12464">
        <w:rPr>
          <w:noProof w:val="0"/>
        </w:rPr>
        <w:tab/>
      </w:r>
      <w:r w:rsidRPr="00C12464">
        <w:rPr>
          <w:noProof w:val="0"/>
        </w:rPr>
        <w:fldChar w:fldCharType="begin"/>
      </w:r>
      <w:r w:rsidRPr="00C12464">
        <w:rPr>
          <w:noProof w:val="0"/>
        </w:rPr>
        <w:instrText xml:space="preserve"> PAGEREF _Toc445221025 \h </w:instrText>
      </w:r>
      <w:r w:rsidRPr="00C12464">
        <w:rPr>
          <w:noProof w:val="0"/>
        </w:rPr>
      </w:r>
      <w:r w:rsidRPr="00C12464">
        <w:rPr>
          <w:noProof w:val="0"/>
        </w:rPr>
        <w:fldChar w:fldCharType="separate"/>
      </w:r>
      <w:r w:rsidRPr="00C12464">
        <w:rPr>
          <w:noProof w:val="0"/>
        </w:rPr>
        <w:t>7</w:t>
      </w:r>
      <w:r w:rsidRPr="00C12464">
        <w:rPr>
          <w:noProof w:val="0"/>
        </w:rPr>
        <w:fldChar w:fldCharType="end"/>
      </w:r>
    </w:p>
    <w:p w14:paraId="5CEA5E55" w14:textId="77777777" w:rsidR="00322488" w:rsidRPr="00C12464" w:rsidRDefault="00322488">
      <w:pPr>
        <w:pStyle w:val="TOC2"/>
        <w:rPr>
          <w:rFonts w:eastAsiaTheme="minorEastAsia"/>
          <w:noProof w:val="0"/>
          <w:color w:val="auto"/>
          <w:sz w:val="24"/>
          <w:szCs w:val="24"/>
        </w:rPr>
      </w:pPr>
      <w:r w:rsidRPr="00C12464">
        <w:rPr>
          <w:noProof w:val="0"/>
        </w:rPr>
        <w:t>A 5.1.</w:t>
      </w:r>
      <w:r w:rsidRPr="00C12464">
        <w:rPr>
          <w:rFonts w:eastAsiaTheme="minorEastAsia"/>
          <w:noProof w:val="0"/>
          <w:color w:val="auto"/>
          <w:sz w:val="24"/>
          <w:szCs w:val="24"/>
        </w:rPr>
        <w:tab/>
      </w:r>
      <w:r w:rsidRPr="00C12464">
        <w:rPr>
          <w:noProof w:val="0"/>
        </w:rPr>
        <w:t>Use Existing Racons</w:t>
      </w:r>
      <w:r w:rsidRPr="00C12464">
        <w:rPr>
          <w:noProof w:val="0"/>
        </w:rPr>
        <w:tab/>
      </w:r>
      <w:r w:rsidRPr="00C12464">
        <w:rPr>
          <w:noProof w:val="0"/>
        </w:rPr>
        <w:fldChar w:fldCharType="begin"/>
      </w:r>
      <w:r w:rsidRPr="00C12464">
        <w:rPr>
          <w:noProof w:val="0"/>
        </w:rPr>
        <w:instrText xml:space="preserve"> PAGEREF _Toc445221026 \h </w:instrText>
      </w:r>
      <w:r w:rsidRPr="00C12464">
        <w:rPr>
          <w:noProof w:val="0"/>
        </w:rPr>
      </w:r>
      <w:r w:rsidRPr="00C12464">
        <w:rPr>
          <w:noProof w:val="0"/>
        </w:rPr>
        <w:fldChar w:fldCharType="separate"/>
      </w:r>
      <w:r w:rsidRPr="00C12464">
        <w:rPr>
          <w:noProof w:val="0"/>
        </w:rPr>
        <w:t>7</w:t>
      </w:r>
      <w:r w:rsidRPr="00C12464">
        <w:rPr>
          <w:noProof w:val="0"/>
        </w:rPr>
        <w:fldChar w:fldCharType="end"/>
      </w:r>
    </w:p>
    <w:p w14:paraId="2631D85E" w14:textId="77777777" w:rsidR="00322488" w:rsidRPr="00C12464" w:rsidRDefault="00322488">
      <w:pPr>
        <w:pStyle w:val="TOC2"/>
        <w:rPr>
          <w:rFonts w:eastAsiaTheme="minorEastAsia"/>
          <w:noProof w:val="0"/>
          <w:color w:val="auto"/>
          <w:sz w:val="24"/>
          <w:szCs w:val="24"/>
        </w:rPr>
      </w:pPr>
      <w:r w:rsidRPr="00C12464">
        <w:rPr>
          <w:noProof w:val="0"/>
        </w:rPr>
        <w:t>A 5.2.</w:t>
      </w:r>
      <w:r w:rsidRPr="00C12464">
        <w:rPr>
          <w:rFonts w:eastAsiaTheme="minorEastAsia"/>
          <w:noProof w:val="0"/>
          <w:color w:val="auto"/>
          <w:sz w:val="24"/>
          <w:szCs w:val="24"/>
        </w:rPr>
        <w:tab/>
      </w:r>
      <w:r w:rsidRPr="00C12464">
        <w:rPr>
          <w:noProof w:val="0"/>
        </w:rPr>
        <w:t>Improve Existing Racons</w:t>
      </w:r>
      <w:r w:rsidRPr="00C12464">
        <w:rPr>
          <w:noProof w:val="0"/>
        </w:rPr>
        <w:tab/>
      </w:r>
      <w:r w:rsidRPr="00C12464">
        <w:rPr>
          <w:noProof w:val="0"/>
        </w:rPr>
        <w:fldChar w:fldCharType="begin"/>
      </w:r>
      <w:r w:rsidRPr="00C12464">
        <w:rPr>
          <w:noProof w:val="0"/>
        </w:rPr>
        <w:instrText xml:space="preserve"> PAGEREF _Toc445221027 \h </w:instrText>
      </w:r>
      <w:r w:rsidRPr="00C12464">
        <w:rPr>
          <w:noProof w:val="0"/>
        </w:rPr>
      </w:r>
      <w:r w:rsidRPr="00C12464">
        <w:rPr>
          <w:noProof w:val="0"/>
        </w:rPr>
        <w:fldChar w:fldCharType="separate"/>
      </w:r>
      <w:r w:rsidRPr="00C12464">
        <w:rPr>
          <w:noProof w:val="0"/>
        </w:rPr>
        <w:t>7</w:t>
      </w:r>
      <w:r w:rsidRPr="00C12464">
        <w:rPr>
          <w:noProof w:val="0"/>
        </w:rPr>
        <w:fldChar w:fldCharType="end"/>
      </w:r>
    </w:p>
    <w:p w14:paraId="614660CB" w14:textId="77777777" w:rsidR="00322488" w:rsidRPr="00C12464" w:rsidRDefault="00322488">
      <w:pPr>
        <w:pStyle w:val="TOC2"/>
        <w:rPr>
          <w:rFonts w:eastAsiaTheme="minorEastAsia"/>
          <w:noProof w:val="0"/>
          <w:color w:val="auto"/>
          <w:sz w:val="24"/>
          <w:szCs w:val="24"/>
        </w:rPr>
      </w:pPr>
      <w:r w:rsidRPr="00C12464">
        <w:rPr>
          <w:noProof w:val="0"/>
        </w:rPr>
        <w:t>A 5.3.</w:t>
      </w:r>
      <w:r w:rsidRPr="00C12464">
        <w:rPr>
          <w:rFonts w:eastAsiaTheme="minorEastAsia"/>
          <w:noProof w:val="0"/>
          <w:color w:val="auto"/>
          <w:sz w:val="24"/>
          <w:szCs w:val="24"/>
        </w:rPr>
        <w:tab/>
      </w:r>
      <w:r w:rsidRPr="00C12464">
        <w:rPr>
          <w:noProof w:val="0"/>
        </w:rPr>
        <w:t>Enhanced Racons</w:t>
      </w:r>
      <w:r w:rsidRPr="00C12464">
        <w:rPr>
          <w:noProof w:val="0"/>
        </w:rPr>
        <w:tab/>
      </w:r>
      <w:r w:rsidRPr="00C12464">
        <w:rPr>
          <w:noProof w:val="0"/>
        </w:rPr>
        <w:fldChar w:fldCharType="begin"/>
      </w:r>
      <w:r w:rsidRPr="00C12464">
        <w:rPr>
          <w:noProof w:val="0"/>
        </w:rPr>
        <w:instrText xml:space="preserve"> PAGEREF _Toc445221028 \h </w:instrText>
      </w:r>
      <w:r w:rsidRPr="00C12464">
        <w:rPr>
          <w:noProof w:val="0"/>
        </w:rPr>
      </w:r>
      <w:r w:rsidRPr="00C12464">
        <w:rPr>
          <w:noProof w:val="0"/>
        </w:rPr>
        <w:fldChar w:fldCharType="separate"/>
      </w:r>
      <w:r w:rsidRPr="00C12464">
        <w:rPr>
          <w:noProof w:val="0"/>
        </w:rPr>
        <w:t>7</w:t>
      </w:r>
      <w:r w:rsidRPr="00C12464">
        <w:rPr>
          <w:noProof w:val="0"/>
        </w:rPr>
        <w:fldChar w:fldCharType="end"/>
      </w:r>
    </w:p>
    <w:p w14:paraId="63FC32FF" w14:textId="77777777" w:rsidR="00322488" w:rsidRPr="00C12464" w:rsidRDefault="00322488">
      <w:pPr>
        <w:pStyle w:val="TOC2"/>
        <w:rPr>
          <w:rFonts w:eastAsiaTheme="minorEastAsia"/>
          <w:noProof w:val="0"/>
          <w:color w:val="auto"/>
          <w:sz w:val="24"/>
          <w:szCs w:val="24"/>
        </w:rPr>
      </w:pPr>
      <w:r w:rsidRPr="00C12464">
        <w:rPr>
          <w:noProof w:val="0"/>
        </w:rPr>
        <w:t>A 5.4.</w:t>
      </w:r>
      <w:r w:rsidRPr="00C12464">
        <w:rPr>
          <w:rFonts w:eastAsiaTheme="minorEastAsia"/>
          <w:noProof w:val="0"/>
          <w:color w:val="auto"/>
          <w:sz w:val="24"/>
          <w:szCs w:val="24"/>
        </w:rPr>
        <w:tab/>
      </w:r>
      <w:r w:rsidRPr="00C12464">
        <w:rPr>
          <w:noProof w:val="0"/>
        </w:rPr>
        <w:t>Universal Radar Beacon</w:t>
      </w:r>
      <w:r w:rsidRPr="00C12464">
        <w:rPr>
          <w:noProof w:val="0"/>
        </w:rPr>
        <w:tab/>
      </w:r>
      <w:r w:rsidRPr="00C12464">
        <w:rPr>
          <w:noProof w:val="0"/>
        </w:rPr>
        <w:fldChar w:fldCharType="begin"/>
      </w:r>
      <w:r w:rsidRPr="00C12464">
        <w:rPr>
          <w:noProof w:val="0"/>
        </w:rPr>
        <w:instrText xml:space="preserve"> PAGEREF _Toc445221029 \h </w:instrText>
      </w:r>
      <w:r w:rsidRPr="00C12464">
        <w:rPr>
          <w:noProof w:val="0"/>
        </w:rPr>
      </w:r>
      <w:r w:rsidRPr="00C12464">
        <w:rPr>
          <w:noProof w:val="0"/>
        </w:rPr>
        <w:fldChar w:fldCharType="separate"/>
      </w:r>
      <w:r w:rsidRPr="00C12464">
        <w:rPr>
          <w:noProof w:val="0"/>
        </w:rPr>
        <w:t>7</w:t>
      </w:r>
      <w:r w:rsidRPr="00C12464">
        <w:rPr>
          <w:noProof w:val="0"/>
        </w:rPr>
        <w:fldChar w:fldCharType="end"/>
      </w:r>
    </w:p>
    <w:p w14:paraId="5D3D4603" w14:textId="77777777" w:rsidR="00322488" w:rsidRPr="00C12464" w:rsidRDefault="00322488">
      <w:pPr>
        <w:pStyle w:val="TOC2"/>
        <w:rPr>
          <w:rFonts w:eastAsiaTheme="minorEastAsia"/>
          <w:noProof w:val="0"/>
          <w:color w:val="auto"/>
          <w:sz w:val="24"/>
          <w:szCs w:val="24"/>
        </w:rPr>
      </w:pPr>
      <w:r w:rsidRPr="00C12464">
        <w:rPr>
          <w:noProof w:val="0"/>
        </w:rPr>
        <w:t>A 5.5.</w:t>
      </w:r>
      <w:r w:rsidRPr="00C12464">
        <w:rPr>
          <w:rFonts w:eastAsiaTheme="minorEastAsia"/>
          <w:noProof w:val="0"/>
          <w:color w:val="auto"/>
          <w:sz w:val="24"/>
          <w:szCs w:val="24"/>
        </w:rPr>
        <w:tab/>
      </w:r>
      <w:r w:rsidRPr="00C12464">
        <w:rPr>
          <w:noProof w:val="0"/>
        </w:rPr>
        <w:t>Secondary Radar</w:t>
      </w:r>
      <w:r w:rsidRPr="00C12464">
        <w:rPr>
          <w:noProof w:val="0"/>
        </w:rPr>
        <w:tab/>
      </w:r>
      <w:r w:rsidRPr="00C12464">
        <w:rPr>
          <w:noProof w:val="0"/>
        </w:rPr>
        <w:fldChar w:fldCharType="begin"/>
      </w:r>
      <w:r w:rsidRPr="00C12464">
        <w:rPr>
          <w:noProof w:val="0"/>
        </w:rPr>
        <w:instrText xml:space="preserve"> PAGEREF _Toc445221030 \h </w:instrText>
      </w:r>
      <w:r w:rsidRPr="00C12464">
        <w:rPr>
          <w:noProof w:val="0"/>
        </w:rPr>
      </w:r>
      <w:r w:rsidRPr="00C12464">
        <w:rPr>
          <w:noProof w:val="0"/>
        </w:rPr>
        <w:fldChar w:fldCharType="separate"/>
      </w:r>
      <w:r w:rsidRPr="00C12464">
        <w:rPr>
          <w:noProof w:val="0"/>
        </w:rPr>
        <w:t>7</w:t>
      </w:r>
      <w:r w:rsidRPr="00C12464">
        <w:rPr>
          <w:noProof w:val="0"/>
        </w:rPr>
        <w:fldChar w:fldCharType="end"/>
      </w:r>
    </w:p>
    <w:p w14:paraId="12B3D814" w14:textId="77777777" w:rsidR="00322488" w:rsidRPr="00C12464" w:rsidRDefault="00322488">
      <w:pPr>
        <w:pStyle w:val="TOC2"/>
        <w:rPr>
          <w:rFonts w:eastAsiaTheme="minorEastAsia"/>
          <w:noProof w:val="0"/>
          <w:color w:val="auto"/>
          <w:sz w:val="24"/>
          <w:szCs w:val="24"/>
        </w:rPr>
      </w:pPr>
      <w:r w:rsidRPr="00C12464">
        <w:rPr>
          <w:noProof w:val="0"/>
        </w:rPr>
        <w:t>A 5.6.</w:t>
      </w:r>
      <w:r w:rsidRPr="00C12464">
        <w:rPr>
          <w:rFonts w:eastAsiaTheme="minorEastAsia"/>
          <w:noProof w:val="0"/>
          <w:color w:val="auto"/>
          <w:sz w:val="24"/>
          <w:szCs w:val="24"/>
        </w:rPr>
        <w:tab/>
      </w:r>
      <w:r w:rsidRPr="00C12464">
        <w:rPr>
          <w:noProof w:val="0"/>
        </w:rPr>
        <w:t>Non-radar technology</w:t>
      </w:r>
      <w:r w:rsidRPr="00C12464">
        <w:rPr>
          <w:noProof w:val="0"/>
        </w:rPr>
        <w:tab/>
      </w:r>
      <w:r w:rsidRPr="00C12464">
        <w:rPr>
          <w:noProof w:val="0"/>
        </w:rPr>
        <w:fldChar w:fldCharType="begin"/>
      </w:r>
      <w:r w:rsidRPr="00C12464">
        <w:rPr>
          <w:noProof w:val="0"/>
        </w:rPr>
        <w:instrText xml:space="preserve"> PAGEREF _Toc445221031 \h </w:instrText>
      </w:r>
      <w:r w:rsidRPr="00C12464">
        <w:rPr>
          <w:noProof w:val="0"/>
        </w:rPr>
      </w:r>
      <w:r w:rsidRPr="00C12464">
        <w:rPr>
          <w:noProof w:val="0"/>
        </w:rPr>
        <w:fldChar w:fldCharType="separate"/>
      </w:r>
      <w:r w:rsidRPr="00C12464">
        <w:rPr>
          <w:noProof w:val="0"/>
        </w:rPr>
        <w:t>7</w:t>
      </w:r>
      <w:r w:rsidRPr="00C12464">
        <w:rPr>
          <w:noProof w:val="0"/>
        </w:rPr>
        <w:fldChar w:fldCharType="end"/>
      </w:r>
    </w:p>
    <w:p w14:paraId="18753BD4" w14:textId="77777777" w:rsidR="00322488" w:rsidRPr="00C12464" w:rsidRDefault="00322488">
      <w:pPr>
        <w:pStyle w:val="TOC1"/>
        <w:rPr>
          <w:rFonts w:eastAsiaTheme="minorEastAsia"/>
          <w:b w:val="0"/>
          <w:noProof w:val="0"/>
          <w:color w:val="auto"/>
          <w:sz w:val="24"/>
          <w:szCs w:val="24"/>
        </w:rPr>
      </w:pPr>
      <w:r w:rsidRPr="00C12464">
        <w:rPr>
          <w:noProof w:val="0"/>
        </w:rPr>
        <w:t>A 6.</w:t>
      </w:r>
      <w:r w:rsidRPr="00C12464">
        <w:rPr>
          <w:rFonts w:eastAsiaTheme="minorEastAsia"/>
          <w:b w:val="0"/>
          <w:noProof w:val="0"/>
          <w:color w:val="auto"/>
          <w:sz w:val="24"/>
          <w:szCs w:val="24"/>
        </w:rPr>
        <w:tab/>
      </w:r>
      <w:r w:rsidRPr="00C12464">
        <w:rPr>
          <w:noProof w:val="0"/>
        </w:rPr>
        <w:t>THE STRATEGY</w:t>
      </w:r>
      <w:r w:rsidRPr="00C12464">
        <w:rPr>
          <w:noProof w:val="0"/>
        </w:rPr>
        <w:tab/>
      </w:r>
      <w:r w:rsidRPr="00C12464">
        <w:rPr>
          <w:noProof w:val="0"/>
        </w:rPr>
        <w:fldChar w:fldCharType="begin"/>
      </w:r>
      <w:r w:rsidRPr="00C12464">
        <w:rPr>
          <w:noProof w:val="0"/>
        </w:rPr>
        <w:instrText xml:space="preserve"> PAGEREF _Toc445221032 \h </w:instrText>
      </w:r>
      <w:r w:rsidRPr="00C12464">
        <w:rPr>
          <w:noProof w:val="0"/>
        </w:rPr>
      </w:r>
      <w:r w:rsidRPr="00C12464">
        <w:rPr>
          <w:noProof w:val="0"/>
        </w:rPr>
        <w:fldChar w:fldCharType="separate"/>
      </w:r>
      <w:r w:rsidRPr="00C12464">
        <w:rPr>
          <w:noProof w:val="0"/>
        </w:rPr>
        <w:t>8</w:t>
      </w:r>
      <w:r w:rsidRPr="00C12464">
        <w:rPr>
          <w:noProof w:val="0"/>
        </w:rPr>
        <w:fldChar w:fldCharType="end"/>
      </w:r>
    </w:p>
    <w:p w14:paraId="6484EF35" w14:textId="77777777" w:rsidR="00322488" w:rsidRPr="00C12464" w:rsidRDefault="00322488">
      <w:pPr>
        <w:pStyle w:val="TOC1"/>
        <w:rPr>
          <w:rFonts w:eastAsiaTheme="minorEastAsia"/>
          <w:b w:val="0"/>
          <w:noProof w:val="0"/>
          <w:color w:val="auto"/>
          <w:sz w:val="24"/>
          <w:szCs w:val="24"/>
        </w:rPr>
      </w:pPr>
      <w:r w:rsidRPr="00C12464">
        <w:rPr>
          <w:noProof w:val="0"/>
        </w:rPr>
        <w:t>A 7.</w:t>
      </w:r>
      <w:r w:rsidRPr="00C12464">
        <w:rPr>
          <w:rFonts w:eastAsiaTheme="minorEastAsia"/>
          <w:b w:val="0"/>
          <w:noProof w:val="0"/>
          <w:color w:val="auto"/>
          <w:sz w:val="24"/>
          <w:szCs w:val="24"/>
        </w:rPr>
        <w:tab/>
      </w:r>
      <w:r w:rsidRPr="00C12464">
        <w:rPr>
          <w:noProof w:val="0"/>
        </w:rPr>
        <w:t>ACRONYMS</w:t>
      </w:r>
      <w:r w:rsidRPr="00C12464">
        <w:rPr>
          <w:noProof w:val="0"/>
        </w:rPr>
        <w:tab/>
      </w:r>
      <w:r w:rsidRPr="00C12464">
        <w:rPr>
          <w:noProof w:val="0"/>
        </w:rPr>
        <w:fldChar w:fldCharType="begin"/>
      </w:r>
      <w:r w:rsidRPr="00C12464">
        <w:rPr>
          <w:noProof w:val="0"/>
        </w:rPr>
        <w:instrText xml:space="preserve"> PAGEREF _Toc445221033 \h </w:instrText>
      </w:r>
      <w:r w:rsidRPr="00C12464">
        <w:rPr>
          <w:noProof w:val="0"/>
        </w:rPr>
      </w:r>
      <w:r w:rsidRPr="00C12464">
        <w:rPr>
          <w:noProof w:val="0"/>
        </w:rPr>
        <w:fldChar w:fldCharType="separate"/>
      </w:r>
      <w:r w:rsidRPr="00C12464">
        <w:rPr>
          <w:noProof w:val="0"/>
        </w:rPr>
        <w:t>8</w:t>
      </w:r>
      <w:r w:rsidRPr="00C12464">
        <w:rPr>
          <w:noProof w:val="0"/>
        </w:rPr>
        <w:fldChar w:fldCharType="end"/>
      </w:r>
    </w:p>
    <w:p w14:paraId="5AD9B120" w14:textId="77777777" w:rsidR="00322488" w:rsidRPr="00C12464" w:rsidRDefault="00322488">
      <w:pPr>
        <w:pStyle w:val="TOC1"/>
        <w:rPr>
          <w:rFonts w:eastAsiaTheme="minorEastAsia"/>
          <w:b w:val="0"/>
          <w:noProof w:val="0"/>
          <w:color w:val="auto"/>
          <w:sz w:val="24"/>
          <w:szCs w:val="24"/>
        </w:rPr>
      </w:pPr>
      <w:r w:rsidRPr="00C12464">
        <w:rPr>
          <w:noProof w:val="0"/>
        </w:rPr>
        <w:t>A 8.</w:t>
      </w:r>
      <w:r w:rsidRPr="00C12464">
        <w:rPr>
          <w:rFonts w:eastAsiaTheme="minorEastAsia"/>
          <w:b w:val="0"/>
          <w:noProof w:val="0"/>
          <w:color w:val="auto"/>
          <w:sz w:val="24"/>
          <w:szCs w:val="24"/>
        </w:rPr>
        <w:tab/>
      </w:r>
      <w:r w:rsidRPr="00C12464">
        <w:rPr>
          <w:noProof w:val="0"/>
        </w:rPr>
        <w:t>REFERENCES</w:t>
      </w:r>
      <w:r w:rsidRPr="00C12464">
        <w:rPr>
          <w:noProof w:val="0"/>
        </w:rPr>
        <w:tab/>
      </w:r>
      <w:r w:rsidRPr="00C12464">
        <w:rPr>
          <w:noProof w:val="0"/>
        </w:rPr>
        <w:fldChar w:fldCharType="begin"/>
      </w:r>
      <w:r w:rsidRPr="00C12464">
        <w:rPr>
          <w:noProof w:val="0"/>
        </w:rPr>
        <w:instrText xml:space="preserve"> PAGEREF _Toc445221034 \h </w:instrText>
      </w:r>
      <w:r w:rsidRPr="00C12464">
        <w:rPr>
          <w:noProof w:val="0"/>
        </w:rPr>
      </w:r>
      <w:r w:rsidRPr="00C12464">
        <w:rPr>
          <w:noProof w:val="0"/>
        </w:rPr>
        <w:fldChar w:fldCharType="separate"/>
      </w:r>
      <w:r w:rsidRPr="00C12464">
        <w:rPr>
          <w:noProof w:val="0"/>
        </w:rPr>
        <w:t>9</w:t>
      </w:r>
      <w:r w:rsidRPr="00C12464">
        <w:rPr>
          <w:noProof w:val="0"/>
        </w:rPr>
        <w:fldChar w:fldCharType="end"/>
      </w:r>
    </w:p>
    <w:p w14:paraId="6C6CEF8A" w14:textId="77777777" w:rsidR="00322488" w:rsidRPr="00C12464" w:rsidRDefault="00322488">
      <w:pPr>
        <w:pStyle w:val="TOC5"/>
        <w:rPr>
          <w:rFonts w:eastAsiaTheme="minorEastAsia" w:cstheme="minorBidi"/>
          <w:b w:val="0"/>
          <w:caps w:val="0"/>
          <w:noProof w:val="0"/>
          <w:color w:val="auto"/>
          <w:sz w:val="24"/>
          <w:szCs w:val="24"/>
        </w:rPr>
      </w:pPr>
      <w:r w:rsidRPr="00C12464">
        <w:rPr>
          <w:noProof w:val="0"/>
        </w:rPr>
        <w:t>APPENDIX 1</w:t>
      </w:r>
      <w:r w:rsidRPr="00C12464">
        <w:rPr>
          <w:rFonts w:eastAsiaTheme="minorEastAsia" w:cstheme="minorBidi"/>
          <w:b w:val="0"/>
          <w:caps w:val="0"/>
          <w:noProof w:val="0"/>
          <w:color w:val="auto"/>
          <w:sz w:val="24"/>
          <w:szCs w:val="24"/>
        </w:rPr>
        <w:tab/>
      </w:r>
      <w:r w:rsidRPr="00C12464">
        <w:rPr>
          <w:noProof w:val="0"/>
        </w:rPr>
        <w:t>PROPOSED NAVIGATIONAL REQUIREMENT FOR RACONS</w:t>
      </w:r>
      <w:r w:rsidRPr="00C12464">
        <w:rPr>
          <w:noProof w:val="0"/>
        </w:rPr>
        <w:tab/>
      </w:r>
      <w:r w:rsidRPr="00C12464">
        <w:rPr>
          <w:noProof w:val="0"/>
        </w:rPr>
        <w:fldChar w:fldCharType="begin"/>
      </w:r>
      <w:r w:rsidRPr="00C12464">
        <w:rPr>
          <w:noProof w:val="0"/>
        </w:rPr>
        <w:instrText xml:space="preserve"> PAGEREF _Toc445221035 \h </w:instrText>
      </w:r>
      <w:r w:rsidRPr="00C12464">
        <w:rPr>
          <w:noProof w:val="0"/>
        </w:rPr>
      </w:r>
      <w:r w:rsidRPr="00C12464">
        <w:rPr>
          <w:noProof w:val="0"/>
        </w:rPr>
        <w:fldChar w:fldCharType="separate"/>
      </w:r>
      <w:r w:rsidRPr="00C12464">
        <w:rPr>
          <w:noProof w:val="0"/>
        </w:rPr>
        <w:t>10</w:t>
      </w:r>
      <w:r w:rsidRPr="00C12464">
        <w:rPr>
          <w:noProof w:val="0"/>
        </w:rPr>
        <w:fldChar w:fldCharType="end"/>
      </w:r>
    </w:p>
    <w:p w14:paraId="075C27BF" w14:textId="18D889BF" w:rsidR="00DD3E15" w:rsidRPr="00C12464" w:rsidRDefault="00757050">
      <w:pPr>
        <w:spacing w:after="200" w:line="276" w:lineRule="auto"/>
      </w:pPr>
      <w:r w:rsidRPr="00C12464">
        <w:rPr>
          <w:b/>
          <w:color w:val="00558C" w:themeColor="accent1"/>
          <w:sz w:val="22"/>
        </w:rPr>
        <w:fldChar w:fldCharType="end"/>
      </w:r>
    </w:p>
    <w:p w14:paraId="76D6F5AE" w14:textId="0FB43042" w:rsidR="00562E8B" w:rsidRPr="00C12464" w:rsidRDefault="00562E8B" w:rsidP="00562E8B">
      <w:pPr>
        <w:pStyle w:val="ListofFigures"/>
      </w:pPr>
      <w:r w:rsidRPr="00C12464">
        <w:t>List of Tables</w:t>
      </w:r>
    </w:p>
    <w:p w14:paraId="3722EA33" w14:textId="77777777" w:rsidR="00790667" w:rsidRDefault="00562E8B" w:rsidP="00790667">
      <w:pPr>
        <w:pStyle w:val="Tablecaption"/>
      </w:pPr>
      <w:r w:rsidRPr="00C12464">
        <w:rPr>
          <w:noProof w:val="0"/>
        </w:rPr>
        <w:fldChar w:fldCharType="begin"/>
      </w:r>
      <w:r w:rsidRPr="00C12464">
        <w:rPr>
          <w:noProof w:val="0"/>
        </w:rPr>
        <w:instrText xml:space="preserve"> TOC \t "Table caption" \c </w:instrText>
      </w:r>
      <w:r w:rsidRPr="00C12464">
        <w:rPr>
          <w:noProof w:val="0"/>
        </w:rPr>
        <w:fldChar w:fldCharType="separate"/>
      </w:r>
      <w:r w:rsidR="00790667">
        <w:t>Table 1</w:t>
      </w:r>
      <w:r w:rsidR="00790667">
        <w:tab/>
        <w:t>Comparison of characteristics of conventional and typical NT radars</w:t>
      </w:r>
      <w:r w:rsidR="00790667">
        <w:tab/>
      </w:r>
      <w:r w:rsidR="00790667">
        <w:fldChar w:fldCharType="begin"/>
      </w:r>
      <w:r w:rsidR="00790667">
        <w:instrText xml:space="preserve"> PAGEREF _Toc467134172 \h </w:instrText>
      </w:r>
      <w:r w:rsidR="00790667">
        <w:fldChar w:fldCharType="separate"/>
      </w:r>
      <w:r w:rsidR="00790667">
        <w:t>6</w:t>
      </w:r>
      <w:r w:rsidR="00790667">
        <w:fldChar w:fldCharType="end"/>
      </w:r>
    </w:p>
    <w:p w14:paraId="6D998A7A" w14:textId="77777777" w:rsidR="00DD3E15" w:rsidRPr="00C12464" w:rsidRDefault="00562E8B">
      <w:pPr>
        <w:spacing w:after="200" w:line="276" w:lineRule="auto"/>
      </w:pPr>
      <w:r w:rsidRPr="00C12464">
        <w:fldChar w:fldCharType="end"/>
      </w:r>
    </w:p>
    <w:p w14:paraId="36626295" w14:textId="77777777" w:rsidR="00DD3E15" w:rsidRPr="00C12464" w:rsidRDefault="00DD3E15">
      <w:pPr>
        <w:spacing w:after="200" w:line="276" w:lineRule="auto"/>
      </w:pPr>
    </w:p>
    <w:p w14:paraId="3D052744" w14:textId="77777777" w:rsidR="00DD3E15" w:rsidRPr="00C12464" w:rsidRDefault="00DD3E15" w:rsidP="00674A45">
      <w:pPr>
        <w:pStyle w:val="BodyText"/>
        <w:sectPr w:rsidR="00DD3E15" w:rsidRPr="00C12464" w:rsidSect="0083218D">
          <w:headerReference w:type="default" r:id="rId13"/>
          <w:pgSz w:w="11906" w:h="16838" w:code="9"/>
          <w:pgMar w:top="567" w:right="794" w:bottom="567" w:left="907" w:header="850" w:footer="850" w:gutter="0"/>
          <w:cols w:space="708"/>
          <w:docGrid w:linePitch="360"/>
        </w:sectPr>
      </w:pPr>
      <w:bookmarkStart w:id="8" w:name="_Ref445215595"/>
    </w:p>
    <w:p w14:paraId="6CE48303" w14:textId="39684DDE" w:rsidR="00B855BC" w:rsidRPr="00C12464" w:rsidRDefault="00757050" w:rsidP="008D16F0">
      <w:pPr>
        <w:pStyle w:val="Annex"/>
      </w:pPr>
      <w:bookmarkStart w:id="9" w:name="_Toc445221020"/>
      <w:bookmarkStart w:id="10" w:name="_Ref468204468"/>
      <w:bookmarkEnd w:id="8"/>
      <w:r w:rsidRPr="00C12464">
        <w:rPr>
          <w:caps w:val="0"/>
        </w:rPr>
        <w:lastRenderedPageBreak/>
        <w:t>STRATEGY FOR MAINTAINING RACON SERVICE CAPABILITY</w:t>
      </w:r>
      <w:bookmarkEnd w:id="9"/>
      <w:bookmarkEnd w:id="10"/>
    </w:p>
    <w:p w14:paraId="3BC006C1" w14:textId="729367CF" w:rsidR="008D16F0" w:rsidRPr="00C12464" w:rsidRDefault="008D16F0" w:rsidP="008D16F0">
      <w:pPr>
        <w:pStyle w:val="AnnexAHead1"/>
      </w:pPr>
      <w:bookmarkStart w:id="11" w:name="_Toc305918352"/>
      <w:bookmarkStart w:id="12" w:name="_Toc445221021"/>
      <w:bookmarkStart w:id="13" w:name="_Toc216489706"/>
      <w:r w:rsidRPr="00C12464">
        <w:t>INTRODUCTION</w:t>
      </w:r>
      <w:bookmarkEnd w:id="11"/>
      <w:bookmarkEnd w:id="12"/>
    </w:p>
    <w:p w14:paraId="37B0F436" w14:textId="77777777" w:rsidR="008D16F0" w:rsidRPr="00C12464" w:rsidRDefault="008D16F0" w:rsidP="008D16F0">
      <w:pPr>
        <w:pStyle w:val="Heading1separatationline"/>
      </w:pPr>
    </w:p>
    <w:p w14:paraId="50CFEC75" w14:textId="77777777" w:rsidR="008D16F0" w:rsidRPr="00C12464" w:rsidRDefault="008D16F0" w:rsidP="008D16F0">
      <w:pPr>
        <w:pStyle w:val="BodyText"/>
      </w:pPr>
      <w:r w:rsidRPr="00C12464">
        <w:t xml:space="preserve">This strategy deals with the anticipated developments in radar over the next decade (NT Radar), the consequences for existing </w:t>
      </w:r>
      <w:proofErr w:type="spellStart"/>
      <w:r w:rsidRPr="00C12464">
        <w:t>Racon</w:t>
      </w:r>
      <w:proofErr w:type="spellEnd"/>
      <w:r w:rsidRPr="00C12464">
        <w:t xml:space="preserve"> performance with a potential reduction in the </w:t>
      </w:r>
      <w:proofErr w:type="spellStart"/>
      <w:r w:rsidRPr="00C12464">
        <w:t>Racon</w:t>
      </w:r>
      <w:proofErr w:type="spellEnd"/>
      <w:r w:rsidRPr="00C12464">
        <w:t xml:space="preserve"> service capability, and the possible options for meeting this challenge.  The strategy reflects discussions in IALA and consultation with other bodies such as CIRM.  Any regulatory changes considered necessary will need to be coordinated through IALA and progressed in IMO, ITU and IEC, as appropriate.</w:t>
      </w:r>
    </w:p>
    <w:p w14:paraId="53AF363F" w14:textId="4DE4BA61" w:rsidR="008D16F0" w:rsidRPr="00C12464" w:rsidRDefault="00663D7D" w:rsidP="008D16F0">
      <w:pPr>
        <w:pStyle w:val="AnnexAHead1"/>
        <w:rPr>
          <w:rFonts w:eastAsiaTheme="minorHAnsi"/>
        </w:rPr>
      </w:pPr>
      <w:bookmarkStart w:id="14" w:name="_Toc305918353"/>
      <w:bookmarkStart w:id="15" w:name="_Toc445221022"/>
      <w:bookmarkEnd w:id="13"/>
      <w:r w:rsidRPr="00C12464">
        <w:rPr>
          <w:caps w:val="0"/>
        </w:rPr>
        <w:t>PRESENT SITUATION</w:t>
      </w:r>
      <w:bookmarkEnd w:id="14"/>
      <w:bookmarkEnd w:id="15"/>
    </w:p>
    <w:p w14:paraId="1A959B14" w14:textId="77777777" w:rsidR="008D16F0" w:rsidRPr="00C12464" w:rsidRDefault="008D16F0" w:rsidP="008D16F0">
      <w:pPr>
        <w:pStyle w:val="Heading1separatationline"/>
      </w:pPr>
    </w:p>
    <w:p w14:paraId="03C0DE64" w14:textId="77777777" w:rsidR="008D16F0" w:rsidRPr="00C12464" w:rsidRDefault="008D16F0" w:rsidP="008D16F0">
      <w:pPr>
        <w:pStyle w:val="BodyText"/>
      </w:pPr>
      <w:r w:rsidRPr="00C12464">
        <w:t>The advent of new technology (NT) radar, with low power, solid-state transmitters introduces uncertainty about the future of Racons.</w:t>
      </w:r>
    </w:p>
    <w:p w14:paraId="19204B18" w14:textId="77777777" w:rsidR="008D16F0" w:rsidRPr="00C12464" w:rsidRDefault="008D16F0" w:rsidP="008D16F0">
      <w:pPr>
        <w:pStyle w:val="BodyText"/>
      </w:pPr>
      <w:r w:rsidRPr="00C12464">
        <w:t xml:space="preserve">In 2004, IMO MSC79 approved new radar performance standards in Resolution 192(79), which from 1 July 2008 removed the requirement for S-Band radars to trigger Racons.  This </w:t>
      </w:r>
      <w:proofErr w:type="gramStart"/>
      <w:r w:rsidRPr="00C12464">
        <w:t>was intended</w:t>
      </w:r>
      <w:proofErr w:type="gramEnd"/>
      <w:r w:rsidRPr="00C12464">
        <w:t xml:space="preserve"> to facilitate the introduction of cost effective coherent processing techniques that would enable future radars to have an improved performance in sea and rain clutter.  Potentially, it also allowed more stringent limits to </w:t>
      </w:r>
      <w:proofErr w:type="gramStart"/>
      <w:r w:rsidRPr="00C12464">
        <w:t>be considered</w:t>
      </w:r>
      <w:proofErr w:type="gramEnd"/>
      <w:r w:rsidRPr="00C12464">
        <w:t xml:space="preserve"> by ITU on spurious and out of band emissions of marine radars in order to improve the utilisation efficiency of the radar spectrum.</w:t>
      </w:r>
    </w:p>
    <w:p w14:paraId="06ED8401" w14:textId="77777777" w:rsidR="008D16F0" w:rsidRPr="00C12464" w:rsidRDefault="008D16F0" w:rsidP="008D16F0">
      <w:pPr>
        <w:pStyle w:val="BodyText"/>
      </w:pPr>
      <w:r w:rsidRPr="00C12464">
        <w:t xml:space="preserve">S-Band radar is normally the preferred choice by users when operating in adverse conditions, particularly in open waters, when the extra angular resolution of X-Band radar is not so important.  S-Band </w:t>
      </w:r>
      <w:proofErr w:type="gramStart"/>
      <w:r w:rsidRPr="00C12464">
        <w:t>is much less affected</w:t>
      </w:r>
      <w:proofErr w:type="gramEnd"/>
      <w:r w:rsidRPr="00C12464">
        <w:t xml:space="preserve"> by precipitation clutter than X-Band.  IMO saw that the potential performance improvements that </w:t>
      </w:r>
      <w:proofErr w:type="gramStart"/>
      <w:r w:rsidRPr="00C12464">
        <w:t>could be obtained</w:t>
      </w:r>
      <w:proofErr w:type="gramEnd"/>
      <w:r w:rsidRPr="00C12464">
        <w:t xml:space="preserve"> by using new technology (NT) would therefore be particularly beneficial at S-Band.  The requirement to trigger Racons </w:t>
      </w:r>
      <w:proofErr w:type="gramStart"/>
      <w:r w:rsidRPr="00C12464">
        <w:t>was dropped</w:t>
      </w:r>
      <w:proofErr w:type="gramEnd"/>
      <w:r w:rsidRPr="00C12464">
        <w:t xml:space="preserve"> in order not to limit the possibilities of improving radar performance in clutter.  However, IMO continues to recognize the importance of Racons as an aid to navigation, since they provide a means of identifying and locating navigation marks in poor visibility without reliance on GNSS or other electronic position fixing systems.  For this </w:t>
      </w:r>
      <w:proofErr w:type="gramStart"/>
      <w:r w:rsidRPr="00C12464">
        <w:t>reason</w:t>
      </w:r>
      <w:proofErr w:type="gramEnd"/>
      <w:r w:rsidRPr="00C12464">
        <w:t xml:space="preserve"> the requirement at X-Band on </w:t>
      </w:r>
      <w:proofErr w:type="spellStart"/>
      <w:r w:rsidRPr="00C12464">
        <w:t>Racon</w:t>
      </w:r>
      <w:proofErr w:type="spellEnd"/>
      <w:r w:rsidRPr="00C12464">
        <w:t xml:space="preserve"> compatibility has not been altered.</w:t>
      </w:r>
    </w:p>
    <w:p w14:paraId="60EDDB40" w14:textId="77777777" w:rsidR="008D16F0" w:rsidRPr="00C12464" w:rsidRDefault="008D16F0" w:rsidP="008D16F0">
      <w:pPr>
        <w:pStyle w:val="BodyText"/>
      </w:pPr>
      <w:r w:rsidRPr="00C12464">
        <w:t xml:space="preserve">Prior to IMO’s decision, the Nautical Institute carried out a survey of bridge officers and established that there was a consensus on an approach that effectively trades S-Band </w:t>
      </w:r>
      <w:proofErr w:type="spellStart"/>
      <w:r w:rsidRPr="00C12464">
        <w:t>Racon</w:t>
      </w:r>
      <w:proofErr w:type="spellEnd"/>
      <w:r w:rsidRPr="00C12464">
        <w:t xml:space="preserve"> compatibility for improved radar detection in conditions of heavy clutter.  New systems and services provide an ever-increasing array of options through which to optimise service levels and reduce risk and cost.  At the same time, the need for co-ordination through IALA and key stakeholders such as IMO and CIRM has never been more important in the endeavour to ensure consistent levels of service provision on an international basis.</w:t>
      </w:r>
    </w:p>
    <w:p w14:paraId="20010BA1" w14:textId="77777777" w:rsidR="008D16F0" w:rsidRPr="00C12464" w:rsidRDefault="008D16F0" w:rsidP="008D16F0">
      <w:pPr>
        <w:pStyle w:val="BodyText"/>
      </w:pPr>
      <w:r w:rsidRPr="00C12464">
        <w:t xml:space="preserve">Recognising the benefits of improved radar detection performance resulting from NT radar, and the relatively small number of Racons compared with the number of radars installed worldwide, it may be necessary for service providers to consider changes if the </w:t>
      </w:r>
      <w:proofErr w:type="spellStart"/>
      <w:r w:rsidRPr="00C12464">
        <w:t>Racon</w:t>
      </w:r>
      <w:proofErr w:type="spellEnd"/>
      <w:r w:rsidRPr="00C12464">
        <w:t xml:space="preserve"> service is to be maintained.</w:t>
      </w:r>
    </w:p>
    <w:p w14:paraId="6327F01C" w14:textId="3E8A4C8A" w:rsidR="008D16F0" w:rsidRPr="00C12464" w:rsidRDefault="008D16F0" w:rsidP="008D16F0">
      <w:pPr>
        <w:pStyle w:val="AnnexAHead1"/>
      </w:pPr>
      <w:bookmarkStart w:id="16" w:name="_Toc305918354"/>
      <w:bookmarkStart w:id="17" w:name="_Toc445221023"/>
      <w:r w:rsidRPr="00C12464">
        <w:t>TECHNICAL BACKGROUND</w:t>
      </w:r>
      <w:bookmarkEnd w:id="16"/>
      <w:bookmarkEnd w:id="17"/>
    </w:p>
    <w:p w14:paraId="3EBAFC42" w14:textId="77777777" w:rsidR="008D16F0" w:rsidRPr="00C12464" w:rsidRDefault="008D16F0" w:rsidP="008D16F0">
      <w:pPr>
        <w:pStyle w:val="Heading1separatationline"/>
      </w:pPr>
    </w:p>
    <w:p w14:paraId="0E334D19" w14:textId="77777777" w:rsidR="008D16F0" w:rsidRPr="00C12464" w:rsidRDefault="008D16F0" w:rsidP="008D16F0">
      <w:pPr>
        <w:pStyle w:val="BodyText"/>
      </w:pPr>
      <w:r w:rsidRPr="00C12464">
        <w:t xml:space="preserve">It is likely that several S-Band NT radar solutions will emerge over the next few years and that </w:t>
      </w:r>
      <w:proofErr w:type="gramStart"/>
      <w:r w:rsidRPr="00C12464">
        <w:t>these will rapidly be adopted by users and manufacturers</w:t>
      </w:r>
      <w:proofErr w:type="gramEnd"/>
      <w:r w:rsidRPr="00C12464">
        <w:t xml:space="preserve">. These may include </w:t>
      </w:r>
      <w:proofErr w:type="gramStart"/>
      <w:r w:rsidRPr="00C12464">
        <w:t>solid state</w:t>
      </w:r>
      <w:proofErr w:type="gramEnd"/>
      <w:r w:rsidRPr="00C12464">
        <w:t xml:space="preserve"> amplifiers, pulse compression, Travelling Wave Tube or Frequency Modulation Carrier Wave (FMCW). Target and clutter Doppler information may be used to enhance target visibility; in </w:t>
      </w:r>
      <w:proofErr w:type="gramStart"/>
      <w:r w:rsidRPr="00C12464">
        <w:t>fact</w:t>
      </w:r>
      <w:proofErr w:type="gramEnd"/>
      <w:r w:rsidRPr="00C12464">
        <w:t xml:space="preserve"> these techniques may also be used with magnetron radars. There are however, several benefits with the low peak powers resulting from pulse compression techniques, which enable solid-state transmitters to </w:t>
      </w:r>
      <w:proofErr w:type="gramStart"/>
      <w:r w:rsidRPr="00C12464">
        <w:t>be used</w:t>
      </w:r>
      <w:proofErr w:type="gramEnd"/>
      <w:r w:rsidRPr="00C12464">
        <w:t>.  The required technology has become increasingly affordable because of the escalating market for mid-power microwave digital communication systems.</w:t>
      </w:r>
    </w:p>
    <w:p w14:paraId="61217346" w14:textId="77777777" w:rsidR="008D16F0" w:rsidRPr="00C12464" w:rsidRDefault="008D16F0" w:rsidP="008D16F0">
      <w:pPr>
        <w:pStyle w:val="BodyText"/>
      </w:pPr>
      <w:r w:rsidRPr="00C12464">
        <w:t xml:space="preserve">Solid-state transmitters also allow the easy use of frequency diversity techniques, giving a further significant boost to target detectability.  They offer good benefits in improving the reliability of radar systems compared to </w:t>
      </w:r>
      <w:r w:rsidRPr="00C12464">
        <w:lastRenderedPageBreak/>
        <w:t>magnetron based systems.  Magnetrons have a limited in-service life (c10</w:t>
      </w:r>
      <w:proofErr w:type="gramStart"/>
      <w:r w:rsidRPr="00C12464">
        <w:t>,000</w:t>
      </w:r>
      <w:proofErr w:type="gramEnd"/>
      <w:r w:rsidRPr="00C12464">
        <w:t xml:space="preserve"> hours) and require very high voltage power supplies that limit reliability.</w:t>
      </w:r>
    </w:p>
    <w:p w14:paraId="5B50314D" w14:textId="3492BF51" w:rsidR="008D16F0" w:rsidRPr="00C12464" w:rsidRDefault="008D16F0" w:rsidP="00790667">
      <w:pPr>
        <w:pStyle w:val="Tablecaption"/>
      </w:pPr>
      <w:bookmarkStart w:id="18" w:name="_Toc305918366"/>
      <w:bookmarkStart w:id="19" w:name="_Toc467134172"/>
      <w:r w:rsidRPr="00C12464">
        <w:t>Comparison of characteristics of conventional and typical NT radars</w:t>
      </w:r>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8D16F0" w:rsidRPr="00C12464" w14:paraId="2AFA4E74" w14:textId="77777777" w:rsidTr="00B52C1C">
        <w:trPr>
          <w:trHeight w:val="29"/>
          <w:jc w:val="center"/>
        </w:trPr>
        <w:tc>
          <w:tcPr>
            <w:tcW w:w="4261" w:type="dxa"/>
            <w:tcMar>
              <w:top w:w="113" w:type="dxa"/>
              <w:bottom w:w="113" w:type="dxa"/>
            </w:tcMar>
            <w:vAlign w:val="center"/>
          </w:tcPr>
          <w:p w14:paraId="2E802DE4" w14:textId="77777777" w:rsidR="008D16F0" w:rsidRPr="00C12464" w:rsidRDefault="008D16F0" w:rsidP="008D16F0">
            <w:pPr>
              <w:pStyle w:val="Tableheading"/>
              <w:rPr>
                <w:lang w:val="en-GB"/>
              </w:rPr>
            </w:pPr>
            <w:r w:rsidRPr="00C12464">
              <w:rPr>
                <w:lang w:val="en-GB"/>
              </w:rPr>
              <w:t xml:space="preserve">Conventional Radar </w:t>
            </w:r>
          </w:p>
        </w:tc>
        <w:tc>
          <w:tcPr>
            <w:tcW w:w="4261" w:type="dxa"/>
            <w:tcMar>
              <w:top w:w="113" w:type="dxa"/>
              <w:bottom w:w="113" w:type="dxa"/>
            </w:tcMar>
            <w:vAlign w:val="center"/>
          </w:tcPr>
          <w:p w14:paraId="066D5248" w14:textId="77777777" w:rsidR="008D16F0" w:rsidRPr="00C12464" w:rsidRDefault="008D16F0" w:rsidP="008D16F0">
            <w:pPr>
              <w:pStyle w:val="Tableheading"/>
              <w:rPr>
                <w:lang w:val="en-GB"/>
              </w:rPr>
            </w:pPr>
            <w:r w:rsidRPr="00C12464">
              <w:rPr>
                <w:lang w:val="en-GB"/>
              </w:rPr>
              <w:t>New Technology Radar</w:t>
            </w:r>
          </w:p>
        </w:tc>
      </w:tr>
      <w:tr w:rsidR="008D16F0" w:rsidRPr="00C12464" w14:paraId="03ADB438" w14:textId="77777777" w:rsidTr="00B52C1C">
        <w:trPr>
          <w:jc w:val="center"/>
        </w:trPr>
        <w:tc>
          <w:tcPr>
            <w:tcW w:w="4261" w:type="dxa"/>
            <w:tcMar>
              <w:top w:w="113" w:type="dxa"/>
              <w:bottom w:w="113" w:type="dxa"/>
            </w:tcMar>
            <w:vAlign w:val="center"/>
          </w:tcPr>
          <w:p w14:paraId="5FA077C1" w14:textId="77777777" w:rsidR="008D16F0" w:rsidRPr="00C12464" w:rsidRDefault="008D16F0" w:rsidP="008D16F0">
            <w:pPr>
              <w:pStyle w:val="Tabletext"/>
            </w:pPr>
            <w:r w:rsidRPr="00C12464">
              <w:t>non-coherent</w:t>
            </w:r>
          </w:p>
        </w:tc>
        <w:tc>
          <w:tcPr>
            <w:tcW w:w="4261" w:type="dxa"/>
            <w:tcMar>
              <w:top w:w="113" w:type="dxa"/>
              <w:bottom w:w="113" w:type="dxa"/>
            </w:tcMar>
            <w:vAlign w:val="center"/>
          </w:tcPr>
          <w:p w14:paraId="2A1F091F" w14:textId="77777777" w:rsidR="008D16F0" w:rsidRPr="00C12464" w:rsidRDefault="008D16F0" w:rsidP="008D16F0">
            <w:pPr>
              <w:pStyle w:val="Tabletext"/>
            </w:pPr>
            <w:r w:rsidRPr="00C12464">
              <w:t>coherent</w:t>
            </w:r>
          </w:p>
        </w:tc>
      </w:tr>
      <w:tr w:rsidR="008D16F0" w:rsidRPr="00C12464" w14:paraId="4801F51F" w14:textId="77777777" w:rsidTr="00B52C1C">
        <w:trPr>
          <w:jc w:val="center"/>
        </w:trPr>
        <w:tc>
          <w:tcPr>
            <w:tcW w:w="4261" w:type="dxa"/>
            <w:tcMar>
              <w:top w:w="113" w:type="dxa"/>
              <w:bottom w:w="113" w:type="dxa"/>
            </w:tcMar>
            <w:vAlign w:val="center"/>
          </w:tcPr>
          <w:p w14:paraId="39E78689" w14:textId="77777777" w:rsidR="008D16F0" w:rsidRPr="00C12464" w:rsidRDefault="008D16F0" w:rsidP="008D16F0">
            <w:pPr>
              <w:pStyle w:val="Tabletext"/>
            </w:pPr>
            <w:r w:rsidRPr="00C12464">
              <w:t>pulsed</w:t>
            </w:r>
          </w:p>
        </w:tc>
        <w:tc>
          <w:tcPr>
            <w:tcW w:w="4261" w:type="dxa"/>
            <w:tcMar>
              <w:top w:w="113" w:type="dxa"/>
              <w:bottom w:w="113" w:type="dxa"/>
            </w:tcMar>
            <w:vAlign w:val="center"/>
          </w:tcPr>
          <w:p w14:paraId="02210679" w14:textId="77777777" w:rsidR="008D16F0" w:rsidRPr="00C12464" w:rsidRDefault="008D16F0" w:rsidP="008D16F0">
            <w:pPr>
              <w:pStyle w:val="Tabletext"/>
            </w:pPr>
            <w:r w:rsidRPr="00C12464">
              <w:t xml:space="preserve">modulated pulse </w:t>
            </w:r>
          </w:p>
        </w:tc>
      </w:tr>
      <w:tr w:rsidR="008D16F0" w:rsidRPr="00C12464" w14:paraId="66E5A656" w14:textId="77777777" w:rsidTr="00B52C1C">
        <w:trPr>
          <w:jc w:val="center"/>
        </w:trPr>
        <w:tc>
          <w:tcPr>
            <w:tcW w:w="4261" w:type="dxa"/>
            <w:tcMar>
              <w:top w:w="113" w:type="dxa"/>
              <w:bottom w:w="113" w:type="dxa"/>
            </w:tcMar>
            <w:vAlign w:val="center"/>
          </w:tcPr>
          <w:p w14:paraId="0E2583B4" w14:textId="77777777" w:rsidR="008D16F0" w:rsidRPr="00C12464" w:rsidRDefault="008D16F0" w:rsidP="008D16F0">
            <w:pPr>
              <w:pStyle w:val="Tabletext"/>
            </w:pPr>
            <w:r w:rsidRPr="00C12464">
              <w:t>high peak power (3-30 kW)</w:t>
            </w:r>
          </w:p>
        </w:tc>
        <w:tc>
          <w:tcPr>
            <w:tcW w:w="4261" w:type="dxa"/>
            <w:tcMar>
              <w:top w:w="113" w:type="dxa"/>
              <w:bottom w:w="113" w:type="dxa"/>
            </w:tcMar>
            <w:vAlign w:val="center"/>
          </w:tcPr>
          <w:p w14:paraId="503A47E9" w14:textId="77777777" w:rsidR="008D16F0" w:rsidRPr="00C12464" w:rsidRDefault="008D16F0" w:rsidP="008D16F0">
            <w:pPr>
              <w:pStyle w:val="Tabletext"/>
            </w:pPr>
            <w:r w:rsidRPr="00C12464">
              <w:t>low peak power (10-500 W)</w:t>
            </w:r>
          </w:p>
        </w:tc>
      </w:tr>
      <w:tr w:rsidR="008D16F0" w:rsidRPr="00C12464" w14:paraId="31E176DE" w14:textId="77777777" w:rsidTr="00B52C1C">
        <w:trPr>
          <w:jc w:val="center"/>
        </w:trPr>
        <w:tc>
          <w:tcPr>
            <w:tcW w:w="4261" w:type="dxa"/>
            <w:tcMar>
              <w:top w:w="113" w:type="dxa"/>
              <w:bottom w:w="113" w:type="dxa"/>
            </w:tcMar>
            <w:vAlign w:val="center"/>
          </w:tcPr>
          <w:p w14:paraId="132B1247" w14:textId="77777777" w:rsidR="008D16F0" w:rsidRPr="00C12464" w:rsidRDefault="008D16F0" w:rsidP="008D16F0">
            <w:pPr>
              <w:pStyle w:val="Tabletext"/>
            </w:pPr>
            <w:r w:rsidRPr="00C12464">
              <w:t>magnetrons</w:t>
            </w:r>
          </w:p>
        </w:tc>
        <w:tc>
          <w:tcPr>
            <w:tcW w:w="4261" w:type="dxa"/>
            <w:tcMar>
              <w:top w:w="113" w:type="dxa"/>
              <w:bottom w:w="113" w:type="dxa"/>
            </w:tcMar>
            <w:vAlign w:val="center"/>
          </w:tcPr>
          <w:p w14:paraId="7668E9E2" w14:textId="77777777" w:rsidR="008D16F0" w:rsidRPr="00C12464" w:rsidRDefault="008D16F0" w:rsidP="008D16F0">
            <w:pPr>
              <w:pStyle w:val="Tabletext"/>
            </w:pPr>
            <w:r w:rsidRPr="00C12464">
              <w:t>solid-state</w:t>
            </w:r>
          </w:p>
        </w:tc>
      </w:tr>
    </w:tbl>
    <w:p w14:paraId="3199EE8D" w14:textId="77777777" w:rsidR="008D16F0" w:rsidRPr="00C12464" w:rsidRDefault="008D16F0" w:rsidP="008D16F0">
      <w:pPr>
        <w:pStyle w:val="BodyText"/>
      </w:pPr>
    </w:p>
    <w:p w14:paraId="79617122" w14:textId="77777777" w:rsidR="008D16F0" w:rsidRPr="00C12464" w:rsidRDefault="008D16F0" w:rsidP="008D16F0">
      <w:pPr>
        <w:pStyle w:val="BodyText"/>
      </w:pPr>
      <w:r w:rsidRPr="00C12464">
        <w:t xml:space="preserve">Note that the interaction of FMCW radars and Racons requires a completely new approach to be developed. This </w:t>
      </w:r>
      <w:proofErr w:type="gramStart"/>
      <w:r w:rsidRPr="00C12464">
        <w:t>has not been considered</w:t>
      </w:r>
      <w:proofErr w:type="gramEnd"/>
      <w:r w:rsidRPr="00C12464">
        <w:t xml:space="preserve"> as part of this strategy paper.</w:t>
      </w:r>
    </w:p>
    <w:p w14:paraId="2A3E245B" w14:textId="799D6E97" w:rsidR="008D16F0" w:rsidRPr="00C12464" w:rsidRDefault="00663D7D" w:rsidP="008D16F0">
      <w:pPr>
        <w:pStyle w:val="AnnexAHead1"/>
      </w:pPr>
      <w:bookmarkStart w:id="20" w:name="_Toc305918355"/>
      <w:bookmarkStart w:id="21" w:name="_Toc445221024"/>
      <w:r w:rsidRPr="00C12464">
        <w:rPr>
          <w:caps w:val="0"/>
        </w:rPr>
        <w:t>THE ROLE OF RACONS</w:t>
      </w:r>
      <w:bookmarkEnd w:id="20"/>
      <w:bookmarkEnd w:id="21"/>
    </w:p>
    <w:p w14:paraId="7DC61EA6" w14:textId="77777777" w:rsidR="008D16F0" w:rsidRPr="00C12464" w:rsidRDefault="008D16F0" w:rsidP="008D16F0">
      <w:pPr>
        <w:pStyle w:val="Heading1separatationline"/>
      </w:pPr>
    </w:p>
    <w:p w14:paraId="2D058C67" w14:textId="77777777" w:rsidR="008D16F0" w:rsidRPr="00C12464" w:rsidRDefault="008D16F0" w:rsidP="008D16F0">
      <w:pPr>
        <w:pStyle w:val="BodyText"/>
      </w:pPr>
      <w:r w:rsidRPr="00C12464">
        <w:t xml:space="preserve">This Strategy </w:t>
      </w:r>
      <w:proofErr w:type="gramStart"/>
      <w:r w:rsidRPr="00C12464">
        <w:t>is set</w:t>
      </w:r>
      <w:proofErr w:type="gramEnd"/>
      <w:r w:rsidRPr="00C12464">
        <w:t xml:space="preserve"> in the following context:</w:t>
      </w:r>
    </w:p>
    <w:p w14:paraId="48E820FC" w14:textId="77777777" w:rsidR="008D16F0" w:rsidRPr="00C12464" w:rsidRDefault="008D16F0" w:rsidP="008D16F0">
      <w:pPr>
        <w:pStyle w:val="Bullet1"/>
        <w:rPr>
          <w:lang w:val="en-GB"/>
        </w:rPr>
      </w:pPr>
      <w:r w:rsidRPr="00C12464">
        <w:rPr>
          <w:lang w:val="en-GB"/>
        </w:rPr>
        <w:t>radar will continue to be the primary tool for collision avoidance for the foreseeable future;</w:t>
      </w:r>
    </w:p>
    <w:p w14:paraId="0C464E06" w14:textId="4B11E5AA" w:rsidR="008D16F0" w:rsidRPr="00C12464" w:rsidRDefault="005B696E" w:rsidP="008D16F0">
      <w:pPr>
        <w:pStyle w:val="Bullet1"/>
        <w:rPr>
          <w:lang w:val="en-GB"/>
        </w:rPr>
      </w:pPr>
      <w:r w:rsidRPr="00C12464">
        <w:rPr>
          <w:lang w:val="en-GB"/>
        </w:rPr>
        <w:t xml:space="preserve">radar </w:t>
      </w:r>
      <w:r w:rsidR="008D16F0" w:rsidRPr="00C12464">
        <w:rPr>
          <w:lang w:val="en-GB"/>
        </w:rPr>
        <w:t>will continue to have an important role in hazard warning, spatial awareness and confirmation of position;</w:t>
      </w:r>
    </w:p>
    <w:p w14:paraId="002BF3EE" w14:textId="77777777" w:rsidR="008D16F0" w:rsidRPr="00C12464" w:rsidRDefault="008D16F0" w:rsidP="008D16F0">
      <w:pPr>
        <w:pStyle w:val="Bullet1"/>
        <w:rPr>
          <w:lang w:val="en-GB"/>
        </w:rPr>
      </w:pPr>
      <w:r w:rsidRPr="00C12464">
        <w:rPr>
          <w:lang w:val="en-GB"/>
        </w:rPr>
        <w:t>anticipated continuing requirement for Racons in the e-Navigation era;</w:t>
      </w:r>
    </w:p>
    <w:p w14:paraId="3139AA55" w14:textId="77777777" w:rsidR="008D16F0" w:rsidRPr="00C12464" w:rsidRDefault="008D16F0" w:rsidP="008D16F0">
      <w:pPr>
        <w:pStyle w:val="Bullet1"/>
        <w:rPr>
          <w:lang w:val="en-GB"/>
        </w:rPr>
      </w:pPr>
      <w:r w:rsidRPr="00C12464">
        <w:rPr>
          <w:lang w:val="en-GB"/>
        </w:rPr>
        <w:t>the navigational requirement for Racons in the future is expected to be as set out in Appendix 1;</w:t>
      </w:r>
    </w:p>
    <w:p w14:paraId="0C48538E" w14:textId="77777777" w:rsidR="008D16F0" w:rsidRPr="00C12464" w:rsidRDefault="008D16F0" w:rsidP="008D16F0">
      <w:pPr>
        <w:pStyle w:val="Bullet1"/>
        <w:rPr>
          <w:lang w:val="en-GB"/>
        </w:rPr>
      </w:pPr>
      <w:r w:rsidRPr="00C12464">
        <w:rPr>
          <w:lang w:val="en-GB"/>
        </w:rPr>
        <w:t>there is a need to respond to the proliferation of other radar targets, such as wind farms;</w:t>
      </w:r>
    </w:p>
    <w:p w14:paraId="4DBA13D3" w14:textId="77777777" w:rsidR="008D16F0" w:rsidRPr="00C12464" w:rsidRDefault="008D16F0" w:rsidP="008D16F0">
      <w:pPr>
        <w:pStyle w:val="Bullet1"/>
        <w:rPr>
          <w:lang w:val="en-GB"/>
        </w:rPr>
      </w:pPr>
      <w:r w:rsidRPr="00C12464">
        <w:rPr>
          <w:lang w:val="en-GB"/>
        </w:rPr>
        <w:t>increasing congestion in some areas is making greater demands on AtoN;</w:t>
      </w:r>
    </w:p>
    <w:p w14:paraId="76976A0E" w14:textId="77777777" w:rsidR="008D16F0" w:rsidRPr="00C12464" w:rsidRDefault="008D16F0" w:rsidP="008D16F0">
      <w:pPr>
        <w:pStyle w:val="Bullet1"/>
        <w:rPr>
          <w:lang w:val="en-GB"/>
        </w:rPr>
      </w:pPr>
      <w:proofErr w:type="gramStart"/>
      <w:r w:rsidRPr="00C12464">
        <w:rPr>
          <w:lang w:val="en-GB"/>
        </w:rPr>
        <w:t>radars</w:t>
      </w:r>
      <w:proofErr w:type="gramEnd"/>
      <w:r w:rsidRPr="00C12464">
        <w:rPr>
          <w:lang w:val="en-GB"/>
        </w:rPr>
        <w:t xml:space="preserve"> may be introduced over the next decade that will not trigger existing Racons, or will do so at significantly reduced range.</w:t>
      </w:r>
    </w:p>
    <w:p w14:paraId="29CC8436" w14:textId="77777777" w:rsidR="008D16F0" w:rsidRPr="00C12464" w:rsidRDefault="008D16F0" w:rsidP="008D16F0">
      <w:pPr>
        <w:pStyle w:val="BodyText"/>
      </w:pPr>
      <w:r w:rsidRPr="00C12464">
        <w:t xml:space="preserve">Mariners have access to a rapidly increasing amount of information, bringing with it a risk of information overload, which needs to </w:t>
      </w:r>
      <w:proofErr w:type="gramStart"/>
      <w:r w:rsidRPr="00C12464">
        <w:t>be addressed</w:t>
      </w:r>
      <w:proofErr w:type="gramEnd"/>
      <w:r w:rsidRPr="00C12464">
        <w:t xml:space="preserve"> under the Human-Machine Interface aspects of e-Navigation.  This necessitates an ability to interpret and discriminate </w:t>
      </w:r>
      <w:proofErr w:type="gramStart"/>
      <w:r w:rsidRPr="00C12464">
        <w:t>between individual aids to navigation in an environment with an increasing amount of radar clutter</w:t>
      </w:r>
      <w:proofErr w:type="gramEnd"/>
      <w:r w:rsidRPr="00C12464">
        <w:t>.  There is a potential single point of failure with both the navigation and surveillance functions of bridge systems relying solely on GNSS.  Radar aids to navigation are, and will remain, a key part of the approach to risk mitigation.</w:t>
      </w:r>
    </w:p>
    <w:p w14:paraId="25F8DF77" w14:textId="77777777" w:rsidR="008D16F0" w:rsidRPr="00C12464" w:rsidRDefault="008D16F0" w:rsidP="008D16F0">
      <w:pPr>
        <w:pStyle w:val="BodyText"/>
      </w:pPr>
      <w:r w:rsidRPr="00C12464">
        <w:t xml:space="preserve">The removal of the requirement to trigger Racons does not necessarily mean that Racons will not work with NT Radars.  They may work at a reduced, but acceptable range; NT Radars could be designed to trigger Racons, whilst retaining their other performance advantages; </w:t>
      </w:r>
      <w:proofErr w:type="gramStart"/>
      <w:r w:rsidRPr="00C12464">
        <w:t>alternatively</w:t>
      </w:r>
      <w:proofErr w:type="gramEnd"/>
      <w:r w:rsidRPr="00C12464">
        <w:t xml:space="preserve"> existing Racons could be modified to work with NT Radars or new Racons designed to do so.  </w:t>
      </w:r>
      <w:proofErr w:type="gramStart"/>
      <w:r w:rsidRPr="00C12464">
        <w:t>Calculations of performance with the first of the NT Radars indicate that existing Racons will perform, but with reduced range.</w:t>
      </w:r>
      <w:proofErr w:type="gramEnd"/>
    </w:p>
    <w:p w14:paraId="57A19585" w14:textId="23D035DB" w:rsidR="008D16F0" w:rsidRPr="00C12464" w:rsidRDefault="008D16F0" w:rsidP="008D16F0">
      <w:pPr>
        <w:pStyle w:val="BodyText"/>
      </w:pPr>
      <w:r w:rsidRPr="00C12464">
        <w:t xml:space="preserve">Trials </w:t>
      </w:r>
      <w:proofErr w:type="gramStart"/>
      <w:r w:rsidRPr="00C12464">
        <w:t>have been carried out</w:t>
      </w:r>
      <w:proofErr w:type="gramEnd"/>
      <w:r w:rsidRPr="00C12464">
        <w:t xml:space="preserve"> with an NT radar, which have indicated a serious reduction in range with most existing Racons (</w:t>
      </w:r>
      <w:r w:rsidR="00036344" w:rsidRPr="00C12464">
        <w:fldChar w:fldCharType="begin"/>
      </w:r>
      <w:r w:rsidR="00036344" w:rsidRPr="00C12464">
        <w:instrText xml:space="preserve"> REF _Ref445217477 \r \h </w:instrText>
      </w:r>
      <w:r w:rsidR="00036344" w:rsidRPr="00C12464">
        <w:fldChar w:fldCharType="separate"/>
      </w:r>
      <w:r w:rsidR="00036344" w:rsidRPr="00C12464">
        <w:t>[1]</w:t>
      </w:r>
      <w:r w:rsidR="00036344" w:rsidRPr="00C12464">
        <w:fldChar w:fldCharType="end"/>
      </w:r>
      <w:r w:rsidRPr="00C12464">
        <w:t xml:space="preserve"> &amp; </w:t>
      </w:r>
      <w:r w:rsidR="00036344" w:rsidRPr="00C12464">
        <w:fldChar w:fldCharType="begin"/>
      </w:r>
      <w:r w:rsidR="00036344" w:rsidRPr="00C12464">
        <w:instrText xml:space="preserve"> REF _Ref445217497 \r \h </w:instrText>
      </w:r>
      <w:r w:rsidR="00036344" w:rsidRPr="00C12464">
        <w:fldChar w:fldCharType="separate"/>
      </w:r>
      <w:r w:rsidR="00036344" w:rsidRPr="00C12464">
        <w:t>[2]</w:t>
      </w:r>
      <w:r w:rsidR="00036344" w:rsidRPr="00C12464">
        <w:fldChar w:fldCharType="end"/>
      </w:r>
      <w:r w:rsidRPr="00C12464">
        <w:t>).  These trials have indicated the need for the development of this strategy.</w:t>
      </w:r>
    </w:p>
    <w:p w14:paraId="6CF1FF7B" w14:textId="77777777" w:rsidR="008D16F0" w:rsidRPr="00C12464" w:rsidRDefault="008D16F0" w:rsidP="008D16F0">
      <w:pPr>
        <w:pStyle w:val="BodyText"/>
      </w:pPr>
      <w:r w:rsidRPr="00C12464">
        <w:t xml:space="preserve">NT radars </w:t>
      </w:r>
      <w:proofErr w:type="gramStart"/>
      <w:r w:rsidRPr="00C12464">
        <w:t>are only being introduced</w:t>
      </w:r>
      <w:proofErr w:type="gramEnd"/>
      <w:r w:rsidRPr="00C12464">
        <w:t xml:space="preserve"> at S-Band at present for SOLAS vessels, although there are X-Band NT radars available for non-SOLAS vessels.  If X-Band NT radars are effective in improving small </w:t>
      </w:r>
      <w:proofErr w:type="gramStart"/>
      <w:r w:rsidRPr="00C12464">
        <w:t>target</w:t>
      </w:r>
      <w:proofErr w:type="gramEnd"/>
      <w:r w:rsidRPr="00C12464">
        <w:t xml:space="preserve"> detection in clutter it </w:t>
      </w:r>
      <w:r w:rsidRPr="00C12464">
        <w:lastRenderedPageBreak/>
        <w:t xml:space="preserve">is likely that demand will grow for their application to SOLAS vessels.  However, it </w:t>
      </w:r>
      <w:proofErr w:type="gramStart"/>
      <w:r w:rsidRPr="00C12464">
        <w:t>is not currently anticipated</w:t>
      </w:r>
      <w:proofErr w:type="gramEnd"/>
      <w:r w:rsidRPr="00C12464">
        <w:t xml:space="preserve"> that IMO will allow significant relaxation of the X-Band radar requirements to trigger and display Racons.</w:t>
      </w:r>
    </w:p>
    <w:p w14:paraId="1AE30EAB" w14:textId="77777777" w:rsidR="008D16F0" w:rsidRPr="00C12464" w:rsidRDefault="008D16F0" w:rsidP="008D16F0">
      <w:pPr>
        <w:pStyle w:val="BodyText"/>
      </w:pPr>
      <w:r w:rsidRPr="00C12464">
        <w:t xml:space="preserve">The important role of Racons </w:t>
      </w:r>
      <w:proofErr w:type="gramStart"/>
      <w:r w:rsidRPr="00C12464">
        <w:t>is being challenged</w:t>
      </w:r>
      <w:proofErr w:type="gramEnd"/>
      <w:r w:rsidRPr="00C12464">
        <w:t xml:space="preserve"> at S-Band and in the longer term at X-Band.  As a result, the development of a suitable strategy for both S-Band and X-Band </w:t>
      </w:r>
      <w:proofErr w:type="spellStart"/>
      <w:r w:rsidRPr="00C12464">
        <w:t>Racon</w:t>
      </w:r>
      <w:proofErr w:type="spellEnd"/>
      <w:r w:rsidRPr="00C12464">
        <w:t xml:space="preserve"> services </w:t>
      </w:r>
      <w:proofErr w:type="gramStart"/>
      <w:r w:rsidRPr="00C12464">
        <w:t>is considered</w:t>
      </w:r>
      <w:proofErr w:type="gramEnd"/>
      <w:r w:rsidRPr="00C12464">
        <w:t xml:space="preserve"> vital.</w:t>
      </w:r>
    </w:p>
    <w:p w14:paraId="13B668B3" w14:textId="01E4E91F" w:rsidR="008D16F0" w:rsidRPr="00C12464" w:rsidRDefault="00663D7D" w:rsidP="008D16F0">
      <w:pPr>
        <w:pStyle w:val="AnnexAHead1"/>
      </w:pPr>
      <w:bookmarkStart w:id="22" w:name="_Toc305918356"/>
      <w:bookmarkStart w:id="23" w:name="_Toc445221025"/>
      <w:r w:rsidRPr="00C12464">
        <w:rPr>
          <w:caps w:val="0"/>
        </w:rPr>
        <w:t>OPTIONS FOR RACON SERVICES</w:t>
      </w:r>
      <w:bookmarkEnd w:id="22"/>
      <w:bookmarkEnd w:id="23"/>
    </w:p>
    <w:p w14:paraId="17AF72C7" w14:textId="77777777" w:rsidR="008D16F0" w:rsidRPr="00C12464" w:rsidRDefault="008D16F0" w:rsidP="008D16F0">
      <w:pPr>
        <w:pStyle w:val="Heading1separatationline"/>
      </w:pPr>
    </w:p>
    <w:p w14:paraId="57DB65CE" w14:textId="63F90C16" w:rsidR="008D16F0" w:rsidRPr="00C12464" w:rsidRDefault="008D16F0" w:rsidP="008D16F0">
      <w:pPr>
        <w:pStyle w:val="AnnexAHead2"/>
      </w:pPr>
      <w:bookmarkStart w:id="24" w:name="_Toc305918357"/>
      <w:bookmarkStart w:id="25" w:name="_Toc445221026"/>
      <w:r w:rsidRPr="00C12464">
        <w:t>Use Existing Racons</w:t>
      </w:r>
      <w:bookmarkEnd w:id="24"/>
      <w:bookmarkEnd w:id="25"/>
    </w:p>
    <w:p w14:paraId="645187F9" w14:textId="77777777" w:rsidR="008D16F0" w:rsidRPr="00C12464" w:rsidRDefault="008D16F0" w:rsidP="008D16F0">
      <w:pPr>
        <w:pStyle w:val="Heading2separationline"/>
      </w:pPr>
    </w:p>
    <w:p w14:paraId="16DD7451" w14:textId="77777777" w:rsidR="008D16F0" w:rsidRPr="00C12464" w:rsidRDefault="008D16F0" w:rsidP="008D16F0">
      <w:pPr>
        <w:pStyle w:val="BodyText"/>
      </w:pPr>
      <w:r w:rsidRPr="00C12464">
        <w:t xml:space="preserve">In principle, existing Racons can respond to pulsed NT radars, if certain constraints </w:t>
      </w:r>
      <w:proofErr w:type="gramStart"/>
      <w:r w:rsidRPr="00C12464">
        <w:t>are placed</w:t>
      </w:r>
      <w:proofErr w:type="gramEnd"/>
      <w:r w:rsidRPr="00C12464">
        <w:t xml:space="preserve"> on the radar design.  However, these constraints may be unacceptable to radar manufacturers.  The distance at which such radars can potentially trigger a </w:t>
      </w:r>
      <w:proofErr w:type="spellStart"/>
      <w:r w:rsidRPr="00C12464">
        <w:t>Racon</w:t>
      </w:r>
      <w:proofErr w:type="spellEnd"/>
      <w:r w:rsidRPr="00C12464">
        <w:t xml:space="preserve"> depends on the peak power of the pulse.  Furthermore, an NT radar </w:t>
      </w:r>
      <w:proofErr w:type="gramStart"/>
      <w:r w:rsidRPr="00C12464">
        <w:t>can be designed</w:t>
      </w:r>
      <w:proofErr w:type="gramEnd"/>
      <w:r w:rsidRPr="00C12464">
        <w:t xml:space="preserve"> so that it would properly process and display the received pulse from the </w:t>
      </w:r>
      <w:proofErr w:type="spellStart"/>
      <w:r w:rsidRPr="00C12464">
        <w:t>Racon</w:t>
      </w:r>
      <w:proofErr w:type="spellEnd"/>
      <w:r w:rsidRPr="00C12464">
        <w:t xml:space="preserve">, even though the </w:t>
      </w:r>
      <w:proofErr w:type="spellStart"/>
      <w:r w:rsidRPr="00C12464">
        <w:t>Racon’s</w:t>
      </w:r>
      <w:proofErr w:type="spellEnd"/>
      <w:r w:rsidRPr="00C12464">
        <w:t xml:space="preserve"> response would not reflect the modulation on the radar transmitted pulse.  This is a low cost and apparently low risk option for the </w:t>
      </w:r>
      <w:proofErr w:type="spellStart"/>
      <w:r w:rsidRPr="00C12464">
        <w:t>Racon</w:t>
      </w:r>
      <w:proofErr w:type="spellEnd"/>
      <w:r w:rsidRPr="00C12464">
        <w:t xml:space="preserve"> provider and it would be compatible with a large range of possible NT radar solutions, but only if they generate a </w:t>
      </w:r>
      <w:proofErr w:type="spellStart"/>
      <w:r w:rsidRPr="00C12464">
        <w:t>Racon</w:t>
      </w:r>
      <w:proofErr w:type="spellEnd"/>
      <w:r w:rsidRPr="00C12464">
        <w:t xml:space="preserve"> interrogation signal and have </w:t>
      </w:r>
      <w:proofErr w:type="spellStart"/>
      <w:r w:rsidRPr="00C12464">
        <w:t>Racon</w:t>
      </w:r>
      <w:proofErr w:type="spellEnd"/>
      <w:r w:rsidRPr="00C12464">
        <w:t xml:space="preserve"> detection algorithms within the radar’s digital signal processing (DSP).</w:t>
      </w:r>
    </w:p>
    <w:p w14:paraId="48C41128" w14:textId="77777777" w:rsidR="008D16F0" w:rsidRPr="00C12464" w:rsidRDefault="008D16F0" w:rsidP="008D16F0">
      <w:pPr>
        <w:pStyle w:val="AnnexAHead2"/>
      </w:pPr>
      <w:bookmarkStart w:id="26" w:name="_Toc305918358"/>
      <w:bookmarkStart w:id="27" w:name="_Ref445216369"/>
      <w:bookmarkStart w:id="28" w:name="_Toc445221027"/>
      <w:r w:rsidRPr="00C12464">
        <w:t>Improve Existing Racons</w:t>
      </w:r>
      <w:bookmarkEnd w:id="26"/>
      <w:bookmarkEnd w:id="27"/>
      <w:bookmarkEnd w:id="28"/>
    </w:p>
    <w:p w14:paraId="26DA4F73" w14:textId="77777777" w:rsidR="008D16F0" w:rsidRPr="00C12464" w:rsidRDefault="008D16F0" w:rsidP="008D16F0">
      <w:pPr>
        <w:pStyle w:val="Heading2separationline"/>
      </w:pPr>
    </w:p>
    <w:p w14:paraId="24D2FB2F" w14:textId="77777777" w:rsidR="008D16F0" w:rsidRPr="00C12464" w:rsidRDefault="008D16F0" w:rsidP="008D16F0">
      <w:pPr>
        <w:pStyle w:val="BodyText"/>
      </w:pPr>
      <w:r w:rsidRPr="00C12464">
        <w:t xml:space="preserve">The second option is to examine the possibility of increasing the effectiveness of Racons with NT radars, by changes to the present </w:t>
      </w:r>
      <w:proofErr w:type="spellStart"/>
      <w:r w:rsidRPr="00C12464">
        <w:t>Racon</w:t>
      </w:r>
      <w:proofErr w:type="spellEnd"/>
      <w:r w:rsidRPr="00C12464">
        <w:t xml:space="preserve"> design characteristics e.g. receiver sensitivity.  This might provide an acceptable way forward, assuming costs are acceptable - all existing Racons would have to be </w:t>
      </w:r>
      <w:proofErr w:type="gramStart"/>
      <w:r w:rsidRPr="00C12464">
        <w:t>modified</w:t>
      </w:r>
      <w:proofErr w:type="gramEnd"/>
      <w:r w:rsidRPr="00C12464">
        <w:t xml:space="preserve"> or replaced.  Unchanged compatibility with existing conventional radars would also be essential.</w:t>
      </w:r>
    </w:p>
    <w:p w14:paraId="4CFAF0C5" w14:textId="77777777" w:rsidR="008D16F0" w:rsidRPr="00C12464" w:rsidRDefault="008D16F0" w:rsidP="008D16F0">
      <w:pPr>
        <w:pStyle w:val="AnnexAHead2"/>
      </w:pPr>
      <w:bookmarkStart w:id="29" w:name="_Toc305918359"/>
      <w:bookmarkStart w:id="30" w:name="_Ref445216383"/>
      <w:bookmarkStart w:id="31" w:name="_Toc445221028"/>
      <w:r w:rsidRPr="00C12464">
        <w:t>Enhanced Racons</w:t>
      </w:r>
      <w:bookmarkEnd w:id="29"/>
      <w:bookmarkEnd w:id="30"/>
      <w:bookmarkEnd w:id="31"/>
    </w:p>
    <w:p w14:paraId="2026A926" w14:textId="77777777" w:rsidR="008D16F0" w:rsidRPr="00C12464" w:rsidRDefault="008D16F0" w:rsidP="008D16F0">
      <w:pPr>
        <w:pStyle w:val="Heading2separationline"/>
      </w:pPr>
    </w:p>
    <w:p w14:paraId="51F3A655" w14:textId="77777777" w:rsidR="008D16F0" w:rsidRPr="00C12464" w:rsidRDefault="008D16F0" w:rsidP="008D16F0">
      <w:pPr>
        <w:pStyle w:val="BodyText"/>
        <w:rPr>
          <w:b/>
        </w:rPr>
      </w:pPr>
      <w:r w:rsidRPr="00C12464">
        <w:t xml:space="preserve">The </w:t>
      </w:r>
      <w:proofErr w:type="spellStart"/>
      <w:r w:rsidRPr="00C12464">
        <w:t>Racon</w:t>
      </w:r>
      <w:proofErr w:type="spellEnd"/>
      <w:r w:rsidRPr="00C12464">
        <w:t xml:space="preserve"> transmission waveform </w:t>
      </w:r>
      <w:proofErr w:type="gramStart"/>
      <w:r w:rsidRPr="00C12464">
        <w:t>could be encoded</w:t>
      </w:r>
      <w:proofErr w:type="gramEnd"/>
      <w:r w:rsidRPr="00C12464">
        <w:t xml:space="preserve"> with identity or positional information.  This would enable enhanced radar positioning through the ability to correlate the radar response of a </w:t>
      </w:r>
      <w:proofErr w:type="spellStart"/>
      <w:r w:rsidRPr="00C12464">
        <w:t>Racon</w:t>
      </w:r>
      <w:proofErr w:type="spellEnd"/>
      <w:r w:rsidRPr="00C12464">
        <w:t xml:space="preserve"> with the known position of that </w:t>
      </w:r>
      <w:proofErr w:type="spellStart"/>
      <w:r w:rsidRPr="00C12464">
        <w:t>Racon</w:t>
      </w:r>
      <w:proofErr w:type="spellEnd"/>
      <w:r w:rsidRPr="00C12464">
        <w:t>.</w:t>
      </w:r>
    </w:p>
    <w:p w14:paraId="0B40F2E2" w14:textId="77777777" w:rsidR="008D16F0" w:rsidRPr="00C12464" w:rsidRDefault="008D16F0" w:rsidP="008D16F0">
      <w:pPr>
        <w:pStyle w:val="AnnexAHead2"/>
      </w:pPr>
      <w:bookmarkStart w:id="32" w:name="_Toc305918360"/>
      <w:bookmarkStart w:id="33" w:name="_Ref445216394"/>
      <w:bookmarkStart w:id="34" w:name="_Toc445221029"/>
      <w:r w:rsidRPr="00C12464">
        <w:t>Universal Radar Beacon</w:t>
      </w:r>
      <w:bookmarkEnd w:id="32"/>
      <w:bookmarkEnd w:id="33"/>
      <w:bookmarkEnd w:id="34"/>
    </w:p>
    <w:p w14:paraId="0633DD64" w14:textId="77777777" w:rsidR="008D16F0" w:rsidRPr="00C12464" w:rsidRDefault="008D16F0" w:rsidP="008D16F0">
      <w:pPr>
        <w:pStyle w:val="Heading2separationline"/>
      </w:pPr>
    </w:p>
    <w:p w14:paraId="55B28012" w14:textId="77777777" w:rsidR="008D16F0" w:rsidRPr="00C12464" w:rsidRDefault="008D16F0" w:rsidP="008D16F0">
      <w:pPr>
        <w:pStyle w:val="BodyText"/>
      </w:pPr>
      <w:r w:rsidRPr="00C12464">
        <w:t xml:space="preserve">The fourth option is to consider the design of a </w:t>
      </w:r>
      <w:proofErr w:type="spellStart"/>
      <w:r w:rsidRPr="00C12464">
        <w:t>Racon</w:t>
      </w:r>
      <w:proofErr w:type="spellEnd"/>
      <w:r w:rsidRPr="00C12464">
        <w:t xml:space="preserve"> that would be compatible with all types of conventional and NT radars.  In principle, this is possible using </w:t>
      </w:r>
      <w:proofErr w:type="gramStart"/>
      <w:r w:rsidRPr="00C12464">
        <w:t>main-stream</w:t>
      </w:r>
      <w:proofErr w:type="gramEnd"/>
      <w:r w:rsidRPr="00C12464">
        <w:t xml:space="preserve"> advances in digital microwave techniques, digital RF memory and fast DSP.  Although it stretches today’s technology, it is likely that future advances will make this approach affordable.  Its main advantage is that it is potentially compatible with all present and future radars.  </w:t>
      </w:r>
      <w:proofErr w:type="spellStart"/>
      <w:r w:rsidRPr="00C12464">
        <w:t>Racon</w:t>
      </w:r>
      <w:proofErr w:type="spellEnd"/>
      <w:r w:rsidRPr="00C12464">
        <w:t xml:space="preserve"> power consumption would be a major consideration.</w:t>
      </w:r>
    </w:p>
    <w:p w14:paraId="3BE826AE" w14:textId="77777777" w:rsidR="008D16F0" w:rsidRPr="00C12464" w:rsidRDefault="008D16F0" w:rsidP="008D16F0">
      <w:pPr>
        <w:pStyle w:val="AnnexAHead2"/>
      </w:pPr>
      <w:bookmarkStart w:id="35" w:name="_Toc305918361"/>
      <w:bookmarkStart w:id="36" w:name="_Toc445221030"/>
      <w:r w:rsidRPr="00C12464">
        <w:t>Secondary Radar</w:t>
      </w:r>
      <w:bookmarkEnd w:id="35"/>
      <w:bookmarkEnd w:id="36"/>
    </w:p>
    <w:p w14:paraId="0EC0FCDA" w14:textId="77777777" w:rsidR="008D16F0" w:rsidRPr="00C12464" w:rsidRDefault="008D16F0" w:rsidP="008D16F0">
      <w:pPr>
        <w:pStyle w:val="Heading2separationline"/>
      </w:pPr>
    </w:p>
    <w:p w14:paraId="5420A984" w14:textId="77777777" w:rsidR="008D16F0" w:rsidRPr="00C12464" w:rsidRDefault="008D16F0" w:rsidP="008D16F0">
      <w:pPr>
        <w:pStyle w:val="BodyText"/>
      </w:pPr>
      <w:r w:rsidRPr="00C12464">
        <w:t xml:space="preserve">There is also the possibility of using non-primary radar techniques in order to determine a ship’s relative position to one or more navigation marks.  This </w:t>
      </w:r>
      <w:proofErr w:type="gramStart"/>
      <w:r w:rsidRPr="00C12464">
        <w:t>can be readily performed</w:t>
      </w:r>
      <w:proofErr w:type="gramEnd"/>
      <w:r w:rsidRPr="00C12464">
        <w:t xml:space="preserve"> with today’s technology, using transponders in another band, but requires extra </w:t>
      </w:r>
      <w:proofErr w:type="spellStart"/>
      <w:r w:rsidRPr="00C12464">
        <w:t>shipborne</w:t>
      </w:r>
      <w:proofErr w:type="spellEnd"/>
      <w:r w:rsidRPr="00C12464">
        <w:t xml:space="preserve"> equipment, new standards and a </w:t>
      </w:r>
      <w:proofErr w:type="spellStart"/>
      <w:r w:rsidRPr="00C12464">
        <w:t>Racon</w:t>
      </w:r>
      <w:proofErr w:type="spellEnd"/>
      <w:r w:rsidRPr="00C12464">
        <w:t xml:space="preserve"> replacement programme.  It would therefore be costly and politically very difficult to implement.</w:t>
      </w:r>
    </w:p>
    <w:p w14:paraId="041411A9" w14:textId="77777777" w:rsidR="008D16F0" w:rsidRPr="00C12464" w:rsidRDefault="008D16F0" w:rsidP="008D16F0">
      <w:pPr>
        <w:pStyle w:val="AnnexAHead2"/>
      </w:pPr>
      <w:bookmarkStart w:id="37" w:name="_Toc305918362"/>
      <w:bookmarkStart w:id="38" w:name="_Ref445216411"/>
      <w:bookmarkStart w:id="39" w:name="_Toc445221031"/>
      <w:r w:rsidRPr="00C12464">
        <w:t>Non-radar technology</w:t>
      </w:r>
      <w:bookmarkEnd w:id="37"/>
      <w:bookmarkEnd w:id="38"/>
      <w:bookmarkEnd w:id="39"/>
    </w:p>
    <w:p w14:paraId="1CB10187" w14:textId="77777777" w:rsidR="008D16F0" w:rsidRPr="00C12464" w:rsidRDefault="008D16F0" w:rsidP="008D16F0">
      <w:pPr>
        <w:pStyle w:val="Heading2separationline"/>
      </w:pPr>
    </w:p>
    <w:p w14:paraId="10F638AB" w14:textId="77777777" w:rsidR="008D16F0" w:rsidRPr="00C12464" w:rsidRDefault="008D16F0" w:rsidP="008D16F0">
      <w:pPr>
        <w:pStyle w:val="BodyText"/>
      </w:pPr>
      <w:r w:rsidRPr="00C12464">
        <w:t xml:space="preserve">If the preceding options prove technically, politically or economically too difficult, then non-radar alternatives would have to </w:t>
      </w:r>
      <w:proofErr w:type="gramStart"/>
      <w:r w:rsidRPr="00C12464">
        <w:t>be considered</w:t>
      </w:r>
      <w:proofErr w:type="gramEnd"/>
      <w:r w:rsidRPr="00C12464">
        <w:t xml:space="preserve"> as a replacement for Racons.  AIS is the obvious choice, although it has two major drawbacks: first, it may be dependent on GPS and therefore does not provide redundancy of </w:t>
      </w:r>
      <w:proofErr w:type="gramStart"/>
      <w:r w:rsidRPr="00C12464">
        <w:t>position-fixing</w:t>
      </w:r>
      <w:proofErr w:type="gramEnd"/>
      <w:r w:rsidRPr="00C12464">
        <w:t xml:space="preserve">; second, a limited number of vessels have </w:t>
      </w:r>
      <w:proofErr w:type="spellStart"/>
      <w:r w:rsidRPr="00C12464">
        <w:t>onboard</w:t>
      </w:r>
      <w:proofErr w:type="spellEnd"/>
      <w:r w:rsidRPr="00C12464">
        <w:t xml:space="preserve"> equipment that can display AIS AtoN.  Until both these </w:t>
      </w:r>
      <w:r w:rsidRPr="00C12464">
        <w:lastRenderedPageBreak/>
        <w:t>problems are resolved (by an alternative position sensor and by the widespread adoption of modernised display equipment), AIS will not provide an adequate replacement for Racons.</w:t>
      </w:r>
    </w:p>
    <w:p w14:paraId="50E8BB68" w14:textId="55210609" w:rsidR="008D16F0" w:rsidRPr="00C12464" w:rsidRDefault="00663D7D" w:rsidP="008D16F0">
      <w:pPr>
        <w:pStyle w:val="AnnexAHead1"/>
      </w:pPr>
      <w:bookmarkStart w:id="40" w:name="_Toc305918363"/>
      <w:bookmarkStart w:id="41" w:name="_Ref445215356"/>
      <w:bookmarkStart w:id="42" w:name="_Toc445221032"/>
      <w:r w:rsidRPr="00C12464">
        <w:rPr>
          <w:caps w:val="0"/>
        </w:rPr>
        <w:t>THE STRATEGY</w:t>
      </w:r>
      <w:bookmarkEnd w:id="40"/>
      <w:bookmarkEnd w:id="41"/>
      <w:bookmarkEnd w:id="42"/>
    </w:p>
    <w:p w14:paraId="4D9452B6" w14:textId="77777777" w:rsidR="008D16F0" w:rsidRPr="00C12464" w:rsidRDefault="008D16F0" w:rsidP="008D16F0">
      <w:pPr>
        <w:pStyle w:val="Heading1separatationline"/>
      </w:pPr>
    </w:p>
    <w:p w14:paraId="0B6A62F8" w14:textId="08568A11" w:rsidR="008D16F0" w:rsidRPr="00C12464" w:rsidRDefault="008D16F0" w:rsidP="008D16F0">
      <w:pPr>
        <w:pStyle w:val="BodyText"/>
      </w:pPr>
      <w:r w:rsidRPr="00C12464">
        <w:t xml:space="preserve">IALA members should present the case for retaining the existing </w:t>
      </w:r>
      <w:proofErr w:type="spellStart"/>
      <w:r w:rsidRPr="00C12464">
        <w:t>Racon</w:t>
      </w:r>
      <w:proofErr w:type="spellEnd"/>
      <w:r w:rsidRPr="00C12464">
        <w:t xml:space="preserve"> service </w:t>
      </w:r>
      <w:r w:rsidR="005B696E" w:rsidRPr="00C12464">
        <w:t>capabilities in X-</w:t>
      </w:r>
      <w:r w:rsidRPr="00C12464">
        <w:t xml:space="preserve">Band radar developments, are encouraged to provide S-Band </w:t>
      </w:r>
      <w:proofErr w:type="spellStart"/>
      <w:r w:rsidRPr="00C12464">
        <w:t>Racon</w:t>
      </w:r>
      <w:proofErr w:type="spellEnd"/>
      <w:r w:rsidRPr="00C12464">
        <w:t xml:space="preserve"> services optimised for conventional and NT radars.</w:t>
      </w:r>
    </w:p>
    <w:p w14:paraId="0B6383F0" w14:textId="4E18F8A6" w:rsidR="008D16F0" w:rsidRPr="00C12464" w:rsidRDefault="008D16F0" w:rsidP="008D16F0">
      <w:pPr>
        <w:pStyle w:val="BodyText"/>
      </w:pPr>
      <w:r w:rsidRPr="00C12464">
        <w:t xml:space="preserve">Recognising the benefits of improved radar detection performance resulting from pulsed NT radar, an improved </w:t>
      </w:r>
      <w:proofErr w:type="spellStart"/>
      <w:r w:rsidRPr="00C12464">
        <w:t>Racon</w:t>
      </w:r>
      <w:proofErr w:type="spellEnd"/>
      <w:r w:rsidRPr="00C12464">
        <w:t xml:space="preserve"> (option </w:t>
      </w:r>
      <w:r w:rsidR="005B696E" w:rsidRPr="00C12464">
        <w:fldChar w:fldCharType="begin"/>
      </w:r>
      <w:r w:rsidR="005B696E" w:rsidRPr="00C12464">
        <w:instrText xml:space="preserve"> REF _Ref445216369 \r \h </w:instrText>
      </w:r>
      <w:r w:rsidR="005B696E" w:rsidRPr="00C12464">
        <w:fldChar w:fldCharType="separate"/>
      </w:r>
      <w:r w:rsidR="005B696E" w:rsidRPr="00C12464">
        <w:t>A 5.2</w:t>
      </w:r>
      <w:r w:rsidR="005B696E" w:rsidRPr="00C12464">
        <w:fldChar w:fldCharType="end"/>
      </w:r>
      <w:r w:rsidRPr="00C12464">
        <w:t xml:space="preserve">) </w:t>
      </w:r>
      <w:proofErr w:type="gramStart"/>
      <w:r w:rsidRPr="00C12464">
        <w:t>should be considered</w:t>
      </w:r>
      <w:proofErr w:type="gramEnd"/>
      <w:r w:rsidRPr="00C12464">
        <w:t xml:space="preserve"> when planning a replacement or upgrade of equipment to maintain and enhance service capability.</w:t>
      </w:r>
    </w:p>
    <w:p w14:paraId="03C93860" w14:textId="0FB64668" w:rsidR="008D16F0" w:rsidRPr="00C12464" w:rsidRDefault="008D16F0" w:rsidP="008D16F0">
      <w:pPr>
        <w:pStyle w:val="BodyText"/>
      </w:pPr>
      <w:r w:rsidRPr="00C12464">
        <w:t xml:space="preserve">IALA members are encouraged to support and consider the outcome of trials of enhanced </w:t>
      </w:r>
      <w:proofErr w:type="spellStart"/>
      <w:r w:rsidRPr="00C12464">
        <w:t>Racon</w:t>
      </w:r>
      <w:proofErr w:type="spellEnd"/>
      <w:r w:rsidRPr="00C12464">
        <w:t xml:space="preserve"> technology (option </w:t>
      </w:r>
      <w:r w:rsidR="005B696E" w:rsidRPr="00C12464">
        <w:fldChar w:fldCharType="begin"/>
      </w:r>
      <w:r w:rsidR="005B696E" w:rsidRPr="00C12464">
        <w:instrText xml:space="preserve"> REF _Ref445216383 \r \h </w:instrText>
      </w:r>
      <w:r w:rsidR="005B696E" w:rsidRPr="00C12464">
        <w:fldChar w:fldCharType="separate"/>
      </w:r>
      <w:r w:rsidR="005B696E" w:rsidRPr="00C12464">
        <w:t>A 5.3</w:t>
      </w:r>
      <w:r w:rsidR="005B696E" w:rsidRPr="00C12464">
        <w:fldChar w:fldCharType="end"/>
      </w:r>
      <w:r w:rsidRPr="00C12464">
        <w:t>) and to explore the possibility of the Universal Radar Beacon (</w:t>
      </w:r>
      <w:r w:rsidR="005B696E" w:rsidRPr="00C12464">
        <w:fldChar w:fldCharType="begin"/>
      </w:r>
      <w:r w:rsidR="005B696E" w:rsidRPr="00C12464">
        <w:instrText xml:space="preserve"> REF _Ref445216394 \r \h </w:instrText>
      </w:r>
      <w:r w:rsidR="005B696E" w:rsidRPr="00C12464">
        <w:fldChar w:fldCharType="separate"/>
      </w:r>
      <w:r w:rsidR="005B696E" w:rsidRPr="00C12464">
        <w:t>A 5.4</w:t>
      </w:r>
      <w:r w:rsidR="005B696E" w:rsidRPr="00C12464">
        <w:fldChar w:fldCharType="end"/>
      </w:r>
      <w:r w:rsidRPr="00C12464">
        <w:t>) or non-radar alternatives (</w:t>
      </w:r>
      <w:r w:rsidR="005B696E" w:rsidRPr="00C12464">
        <w:fldChar w:fldCharType="begin"/>
      </w:r>
      <w:r w:rsidR="005B696E" w:rsidRPr="00C12464">
        <w:instrText xml:space="preserve"> REF _Ref445216411 \r \h </w:instrText>
      </w:r>
      <w:r w:rsidR="005B696E" w:rsidRPr="00C12464">
        <w:fldChar w:fldCharType="separate"/>
      </w:r>
      <w:r w:rsidR="005B696E" w:rsidRPr="00C12464">
        <w:t>A 5.6</w:t>
      </w:r>
      <w:r w:rsidR="005B696E" w:rsidRPr="00C12464">
        <w:fldChar w:fldCharType="end"/>
      </w:r>
      <w:r w:rsidRPr="00C12464">
        <w:t>) in the longer term.</w:t>
      </w:r>
    </w:p>
    <w:p w14:paraId="59847877" w14:textId="4B5415C0" w:rsidR="008D16F0" w:rsidRPr="00C12464" w:rsidRDefault="008D16F0" w:rsidP="008D16F0">
      <w:pPr>
        <w:pStyle w:val="BodyText"/>
      </w:pPr>
      <w:r w:rsidRPr="00C12464">
        <w:t>IALA should encourage liaison with radar manufacturers to confirm that NT Radars have the capacity to trigger Racon</w:t>
      </w:r>
      <w:r w:rsidR="005B696E" w:rsidRPr="00C12464">
        <w:t>s at the proposed ranges</w:t>
      </w:r>
      <w:r w:rsidRPr="00C12464">
        <w:t xml:space="preserve"> and work with </w:t>
      </w:r>
      <w:proofErr w:type="spellStart"/>
      <w:r w:rsidRPr="00C12464">
        <w:t>Racon</w:t>
      </w:r>
      <w:proofErr w:type="spellEnd"/>
      <w:r w:rsidRPr="00C12464">
        <w:t xml:space="preserve"> manufacturers to identify possible modification to improve triggering range.</w:t>
      </w:r>
    </w:p>
    <w:p w14:paraId="7AFB7654" w14:textId="59A7FD17" w:rsidR="005B696E" w:rsidRPr="00C12464" w:rsidRDefault="005B696E" w:rsidP="005B696E">
      <w:pPr>
        <w:pStyle w:val="AnnexAHead1"/>
      </w:pPr>
      <w:bookmarkStart w:id="43" w:name="_Toc445221033"/>
      <w:r w:rsidRPr="00C12464">
        <w:t>ACRONYMS</w:t>
      </w:r>
      <w:bookmarkEnd w:id="43"/>
    </w:p>
    <w:p w14:paraId="2F2C82F0" w14:textId="77777777" w:rsidR="005B696E" w:rsidRPr="00C12464" w:rsidRDefault="005B696E" w:rsidP="005B696E">
      <w:pPr>
        <w:pStyle w:val="Heading1separatationline"/>
      </w:pPr>
    </w:p>
    <w:p w14:paraId="69342986" w14:textId="4589F295" w:rsidR="00036344" w:rsidRPr="00C12464" w:rsidRDefault="00036344" w:rsidP="00562E8B">
      <w:pPr>
        <w:pStyle w:val="BodyText"/>
        <w:tabs>
          <w:tab w:val="left" w:pos="1134"/>
        </w:tabs>
      </w:pPr>
      <w:r w:rsidRPr="00C12464">
        <w:t>AIS</w:t>
      </w:r>
      <w:r w:rsidRPr="00C12464">
        <w:tab/>
        <w:t>Automatic Identification System</w:t>
      </w:r>
    </w:p>
    <w:p w14:paraId="1129D878" w14:textId="2C2DB2F6" w:rsidR="00036344" w:rsidRPr="00C12464" w:rsidRDefault="00036344" w:rsidP="00562E8B">
      <w:pPr>
        <w:pStyle w:val="BodyText"/>
        <w:tabs>
          <w:tab w:val="left" w:pos="1134"/>
        </w:tabs>
      </w:pPr>
      <w:r w:rsidRPr="00C12464">
        <w:t>AtoN</w:t>
      </w:r>
      <w:r w:rsidRPr="00C12464">
        <w:tab/>
        <w:t>Aid(s) to Navigation</w:t>
      </w:r>
    </w:p>
    <w:p w14:paraId="6BDF7F2C" w14:textId="4FD66BE9" w:rsidR="00036344" w:rsidRPr="00C12464" w:rsidRDefault="00036344" w:rsidP="00562E8B">
      <w:pPr>
        <w:pStyle w:val="BodyText"/>
        <w:tabs>
          <w:tab w:val="left" w:pos="1134"/>
        </w:tabs>
      </w:pPr>
      <w:proofErr w:type="gramStart"/>
      <w:r w:rsidRPr="00C12464">
        <w:t>c</w:t>
      </w:r>
      <w:proofErr w:type="gramEnd"/>
      <w:r w:rsidRPr="00C12464">
        <w:tab/>
        <w:t>circa</w:t>
      </w:r>
    </w:p>
    <w:p w14:paraId="2E86DA37" w14:textId="1212FB06" w:rsidR="00562E8B" w:rsidRPr="00C12464" w:rsidRDefault="00562E8B" w:rsidP="00562E8B">
      <w:pPr>
        <w:pStyle w:val="BodyText"/>
        <w:tabs>
          <w:tab w:val="left" w:pos="1134"/>
        </w:tabs>
      </w:pPr>
      <w:r w:rsidRPr="00C12464">
        <w:t>CIRM</w:t>
      </w:r>
      <w:r w:rsidRPr="00C12464">
        <w:tab/>
      </w:r>
      <w:proofErr w:type="spellStart"/>
      <w:r w:rsidR="006E5B54" w:rsidRPr="00C12464">
        <w:t>Comité</w:t>
      </w:r>
      <w:proofErr w:type="spellEnd"/>
      <w:r w:rsidR="006E5B54" w:rsidRPr="00C12464">
        <w:t xml:space="preserve"> International Radio-Maritime</w:t>
      </w:r>
    </w:p>
    <w:p w14:paraId="2BF5DC47" w14:textId="35E5D69E" w:rsidR="00036344" w:rsidRPr="00C12464" w:rsidRDefault="00036344" w:rsidP="00562E8B">
      <w:pPr>
        <w:pStyle w:val="BodyText"/>
        <w:tabs>
          <w:tab w:val="left" w:pos="1134"/>
        </w:tabs>
      </w:pPr>
      <w:r w:rsidRPr="00C12464">
        <w:t>DSP</w:t>
      </w:r>
      <w:r w:rsidRPr="00C12464">
        <w:tab/>
      </w:r>
      <w:r w:rsidRPr="00C12464">
        <w:rPr>
          <w:rFonts w:eastAsia="Calibri"/>
          <w:lang w:eastAsia="en-GB"/>
        </w:rPr>
        <w:t>Digital Signal Processing</w:t>
      </w:r>
    </w:p>
    <w:p w14:paraId="7BF1F44F" w14:textId="700141DF" w:rsidR="00036344" w:rsidRPr="00C12464" w:rsidRDefault="00036344" w:rsidP="00562E8B">
      <w:pPr>
        <w:pStyle w:val="BodyText"/>
        <w:tabs>
          <w:tab w:val="left" w:pos="1134"/>
        </w:tabs>
      </w:pPr>
      <w:r w:rsidRPr="00C12464">
        <w:t>FMCW</w:t>
      </w:r>
      <w:r w:rsidRPr="00C12464">
        <w:tab/>
        <w:t>Frequency Modulation Carrier Wave</w:t>
      </w:r>
    </w:p>
    <w:p w14:paraId="5804CF30" w14:textId="13E4040B" w:rsidR="00562E8B" w:rsidRPr="00C12464" w:rsidRDefault="00562E8B" w:rsidP="00562E8B">
      <w:pPr>
        <w:pStyle w:val="BodyText"/>
        <w:tabs>
          <w:tab w:val="left" w:pos="1134"/>
        </w:tabs>
      </w:pPr>
      <w:r w:rsidRPr="00C12464">
        <w:t>GNSS</w:t>
      </w:r>
      <w:r w:rsidRPr="00C12464">
        <w:tab/>
      </w:r>
      <w:r w:rsidR="006E5B54" w:rsidRPr="00C12464">
        <w:t>Global Navigation Satellite System</w:t>
      </w:r>
    </w:p>
    <w:p w14:paraId="1CA53546" w14:textId="164D4CC5" w:rsidR="005B696E" w:rsidRPr="00C12464" w:rsidRDefault="00562E8B" w:rsidP="00562E8B">
      <w:pPr>
        <w:pStyle w:val="BodyText"/>
        <w:tabs>
          <w:tab w:val="left" w:pos="1134"/>
        </w:tabs>
      </w:pPr>
      <w:r w:rsidRPr="00C12464">
        <w:t>IALA</w:t>
      </w:r>
      <w:r w:rsidRPr="00C12464">
        <w:tab/>
        <w:t>International Association of Marine Aids to Navigation and Lighthouse Authorities</w:t>
      </w:r>
    </w:p>
    <w:p w14:paraId="4C2A7BF7" w14:textId="45551DB5" w:rsidR="00562E8B" w:rsidRPr="00C12464" w:rsidRDefault="00562E8B" w:rsidP="00562E8B">
      <w:pPr>
        <w:pStyle w:val="BodyText"/>
        <w:tabs>
          <w:tab w:val="left" w:pos="1134"/>
        </w:tabs>
      </w:pPr>
      <w:r w:rsidRPr="00C12464">
        <w:t>IEC</w:t>
      </w:r>
      <w:r w:rsidRPr="00C12464">
        <w:tab/>
      </w:r>
      <w:r w:rsidR="006E5B54" w:rsidRPr="00C12464">
        <w:rPr>
          <w:rFonts w:cs="Arial"/>
          <w:bCs/>
          <w:color w:val="575757"/>
        </w:rPr>
        <w:t>International Electrotechnical Commission</w:t>
      </w:r>
    </w:p>
    <w:p w14:paraId="4A77A801" w14:textId="5B68EB43" w:rsidR="00562E8B" w:rsidRPr="00C12464" w:rsidRDefault="00562E8B" w:rsidP="00562E8B">
      <w:pPr>
        <w:pStyle w:val="BodyText"/>
        <w:tabs>
          <w:tab w:val="left" w:pos="1134"/>
        </w:tabs>
      </w:pPr>
      <w:r w:rsidRPr="00C12464">
        <w:t>IMO</w:t>
      </w:r>
      <w:r w:rsidRPr="00C12464">
        <w:tab/>
      </w:r>
      <w:r w:rsidR="006E5B54" w:rsidRPr="00C12464">
        <w:t>International Maritime Organization</w:t>
      </w:r>
    </w:p>
    <w:p w14:paraId="14E29ACF" w14:textId="35FDD36E" w:rsidR="00562E8B" w:rsidRPr="00C12464" w:rsidRDefault="00562E8B" w:rsidP="00562E8B">
      <w:pPr>
        <w:pStyle w:val="BodyText"/>
        <w:tabs>
          <w:tab w:val="left" w:pos="1134"/>
        </w:tabs>
      </w:pPr>
      <w:r w:rsidRPr="00C12464">
        <w:t>ITU</w:t>
      </w:r>
      <w:r w:rsidRPr="00C12464">
        <w:tab/>
      </w:r>
      <w:r w:rsidR="006E5B54" w:rsidRPr="00C12464">
        <w:t>International Telecommunication Union</w:t>
      </w:r>
    </w:p>
    <w:p w14:paraId="6FF6B90F" w14:textId="11243C50" w:rsidR="00036344" w:rsidRPr="00C12464" w:rsidRDefault="00036344" w:rsidP="00562E8B">
      <w:pPr>
        <w:pStyle w:val="BodyText"/>
        <w:tabs>
          <w:tab w:val="left" w:pos="1134"/>
        </w:tabs>
      </w:pPr>
      <w:proofErr w:type="gramStart"/>
      <w:r w:rsidRPr="00C12464">
        <w:t>kW</w:t>
      </w:r>
      <w:proofErr w:type="gramEnd"/>
      <w:r w:rsidRPr="00C12464">
        <w:tab/>
      </w:r>
      <w:r w:rsidR="006E5B54" w:rsidRPr="00C12464">
        <w:t>kilo Watt</w:t>
      </w:r>
    </w:p>
    <w:p w14:paraId="6961DFA5" w14:textId="3ECE260E" w:rsidR="00562E8B" w:rsidRPr="00C12464" w:rsidRDefault="00562E8B" w:rsidP="00562E8B">
      <w:pPr>
        <w:pStyle w:val="BodyText"/>
        <w:tabs>
          <w:tab w:val="left" w:pos="1134"/>
        </w:tabs>
      </w:pPr>
      <w:r w:rsidRPr="00C12464">
        <w:t>MSC</w:t>
      </w:r>
      <w:r w:rsidRPr="00C12464">
        <w:tab/>
      </w:r>
      <w:r w:rsidR="006E5B54" w:rsidRPr="00C12464">
        <w:t>Maritime Safety</w:t>
      </w:r>
      <w:r w:rsidR="001607C8" w:rsidRPr="00C12464">
        <w:t xml:space="preserve"> Committee (IMO)</w:t>
      </w:r>
    </w:p>
    <w:p w14:paraId="5A891AD8" w14:textId="58D7C9B4" w:rsidR="00562E8B" w:rsidRPr="00C12464" w:rsidRDefault="00562E8B" w:rsidP="00562E8B">
      <w:pPr>
        <w:pStyle w:val="BodyText"/>
        <w:tabs>
          <w:tab w:val="left" w:pos="1134"/>
        </w:tabs>
      </w:pPr>
      <w:r w:rsidRPr="00C12464">
        <w:t>NT</w:t>
      </w:r>
      <w:r w:rsidRPr="00C12464">
        <w:tab/>
        <w:t>New Technology</w:t>
      </w:r>
    </w:p>
    <w:p w14:paraId="4D673188" w14:textId="0AE408D9" w:rsidR="00036344" w:rsidRPr="00C12464" w:rsidRDefault="00036344" w:rsidP="00562E8B">
      <w:pPr>
        <w:pStyle w:val="BodyText"/>
        <w:tabs>
          <w:tab w:val="left" w:pos="1134"/>
        </w:tabs>
      </w:pPr>
      <w:r w:rsidRPr="00C12464">
        <w:t>RF</w:t>
      </w:r>
      <w:r w:rsidRPr="00C12464">
        <w:tab/>
        <w:t>Radio Frequency</w:t>
      </w:r>
    </w:p>
    <w:p w14:paraId="708AD55F" w14:textId="73927BDD" w:rsidR="00562E8B" w:rsidRPr="00C12464" w:rsidRDefault="00562E8B" w:rsidP="00562E8B">
      <w:pPr>
        <w:pStyle w:val="BodyText"/>
        <w:tabs>
          <w:tab w:val="left" w:pos="1134"/>
        </w:tabs>
      </w:pPr>
      <w:r w:rsidRPr="00C12464">
        <w:t>S-Band</w:t>
      </w:r>
      <w:r w:rsidRPr="00C12464">
        <w:tab/>
      </w:r>
      <w:r w:rsidR="006E5B54" w:rsidRPr="00C12464">
        <w:rPr>
          <w:rFonts w:cs="Helvetica"/>
          <w:color w:val="000000" w:themeColor="text1"/>
        </w:rPr>
        <w:t>2 to 4 </w:t>
      </w:r>
      <w:hyperlink r:id="rId14" w:history="1">
        <w:r w:rsidR="006E5B54" w:rsidRPr="00C12464">
          <w:rPr>
            <w:rFonts w:cs="Helvetica"/>
            <w:color w:val="000000" w:themeColor="text1"/>
          </w:rPr>
          <w:t>GHz</w:t>
        </w:r>
      </w:hyperlink>
      <w:r w:rsidR="006E5B54" w:rsidRPr="00C12464">
        <w:rPr>
          <w:rFonts w:cs="Helvetica"/>
          <w:color w:val="000000" w:themeColor="text1"/>
        </w:rPr>
        <w:t xml:space="preserve"> (Radar)</w:t>
      </w:r>
    </w:p>
    <w:p w14:paraId="05AED433" w14:textId="5BBD8856" w:rsidR="00036344" w:rsidRPr="00C12464" w:rsidRDefault="00036344" w:rsidP="00562E8B">
      <w:pPr>
        <w:pStyle w:val="BodyText"/>
        <w:tabs>
          <w:tab w:val="left" w:pos="1134"/>
        </w:tabs>
      </w:pPr>
      <w:r w:rsidRPr="00C12464">
        <w:t>SOLAS</w:t>
      </w:r>
      <w:r w:rsidRPr="00C12464">
        <w:tab/>
      </w:r>
      <w:r w:rsidR="006E5B54" w:rsidRPr="00C12464">
        <w:rPr>
          <w:rFonts w:cs="Arial"/>
          <w:bCs/>
          <w:color w:val="000000" w:themeColor="text1"/>
        </w:rPr>
        <w:t>International Convention for the Safety of Life at Sea (SOLAS), 1974 (as amended)</w:t>
      </w:r>
    </w:p>
    <w:p w14:paraId="49E895E5" w14:textId="7B490BBB" w:rsidR="00036344" w:rsidRPr="00C12464" w:rsidRDefault="00036344" w:rsidP="00562E8B">
      <w:pPr>
        <w:pStyle w:val="BodyText"/>
        <w:tabs>
          <w:tab w:val="left" w:pos="1134"/>
        </w:tabs>
      </w:pPr>
      <w:r w:rsidRPr="00C12464">
        <w:t>W</w:t>
      </w:r>
      <w:r w:rsidRPr="00C12464">
        <w:tab/>
        <w:t>Watt</w:t>
      </w:r>
    </w:p>
    <w:p w14:paraId="4448DD79" w14:textId="2827642A" w:rsidR="00562E8B" w:rsidRPr="00C12464" w:rsidRDefault="00562E8B" w:rsidP="00562E8B">
      <w:pPr>
        <w:pStyle w:val="BodyText"/>
        <w:tabs>
          <w:tab w:val="left" w:pos="1134"/>
        </w:tabs>
      </w:pPr>
      <w:r w:rsidRPr="00C12464">
        <w:t>X-Band</w:t>
      </w:r>
      <w:r w:rsidRPr="00C12464">
        <w:tab/>
      </w:r>
      <w:r w:rsidR="006E5B54" w:rsidRPr="00C12464">
        <w:t>8.0 – 12.0 GHz (Radar)</w:t>
      </w:r>
    </w:p>
    <w:p w14:paraId="34CF19CB" w14:textId="77777777" w:rsidR="00322488" w:rsidRPr="00C12464" w:rsidRDefault="00322488">
      <w:pPr>
        <w:spacing w:after="200" w:line="276" w:lineRule="auto"/>
        <w:rPr>
          <w:rFonts w:eastAsia="Calibri" w:cs="Calibri"/>
          <w:b/>
          <w:bCs/>
          <w:color w:val="009FDF"/>
          <w:sz w:val="28"/>
          <w:lang w:eastAsia="en-GB"/>
        </w:rPr>
      </w:pPr>
      <w:bookmarkStart w:id="44" w:name="_Toc305918364"/>
      <w:r w:rsidRPr="00C12464">
        <w:rPr>
          <w:caps/>
        </w:rPr>
        <w:br w:type="page"/>
      </w:r>
    </w:p>
    <w:p w14:paraId="4A0E52E8" w14:textId="23F623FB" w:rsidR="008D16F0" w:rsidRPr="00C12464" w:rsidRDefault="00663D7D" w:rsidP="008D16F0">
      <w:pPr>
        <w:pStyle w:val="AnnexAHead1"/>
      </w:pPr>
      <w:bookmarkStart w:id="45" w:name="_Toc445221034"/>
      <w:r w:rsidRPr="00C12464">
        <w:rPr>
          <w:caps w:val="0"/>
        </w:rPr>
        <w:lastRenderedPageBreak/>
        <w:t>REFERENCES</w:t>
      </w:r>
      <w:bookmarkEnd w:id="44"/>
      <w:bookmarkEnd w:id="45"/>
    </w:p>
    <w:p w14:paraId="6406FEDA" w14:textId="77777777" w:rsidR="008D16F0" w:rsidRPr="00C12464" w:rsidRDefault="008D16F0" w:rsidP="008D16F0">
      <w:pPr>
        <w:pStyle w:val="Heading1separatationline"/>
      </w:pPr>
    </w:p>
    <w:p w14:paraId="228F7AC8" w14:textId="77777777" w:rsidR="008D16F0" w:rsidRPr="00C12464" w:rsidRDefault="008D16F0" w:rsidP="008D16F0">
      <w:pPr>
        <w:pStyle w:val="Reference"/>
        <w:rPr>
          <w:rFonts w:eastAsia="Calibri"/>
        </w:rPr>
      </w:pPr>
      <w:bookmarkStart w:id="46" w:name="_Ref445217477"/>
      <w:r w:rsidRPr="00C12464">
        <w:rPr>
          <w:rFonts w:eastAsia="Calibri"/>
        </w:rPr>
        <w:t xml:space="preserve">RPT-06-MB-09 </w:t>
      </w:r>
      <w:proofErr w:type="spellStart"/>
      <w:r w:rsidRPr="00C12464">
        <w:rPr>
          <w:rFonts w:eastAsia="Calibri"/>
        </w:rPr>
        <w:t>Racon</w:t>
      </w:r>
      <w:proofErr w:type="spellEnd"/>
      <w:r w:rsidRPr="00C12464">
        <w:rPr>
          <w:rFonts w:eastAsia="Calibri"/>
        </w:rPr>
        <w:t xml:space="preserve"> Trials, GLA R&amp;RNAV 2010</w:t>
      </w:r>
      <w:bookmarkEnd w:id="46"/>
    </w:p>
    <w:p w14:paraId="7565FEBA" w14:textId="77777777" w:rsidR="008D16F0" w:rsidRPr="00C12464" w:rsidRDefault="008D16F0" w:rsidP="008D16F0">
      <w:pPr>
        <w:pStyle w:val="Reference"/>
        <w:rPr>
          <w:rFonts w:eastAsia="Calibri"/>
        </w:rPr>
      </w:pPr>
      <w:bookmarkStart w:id="47" w:name="_Ref445217497"/>
      <w:r w:rsidRPr="00C12464">
        <w:rPr>
          <w:rFonts w:eastAsia="Calibri"/>
        </w:rPr>
        <w:t xml:space="preserve">RPT-07-NW-10 Second </w:t>
      </w:r>
      <w:proofErr w:type="spellStart"/>
      <w:r w:rsidRPr="00C12464">
        <w:rPr>
          <w:rFonts w:eastAsia="Calibri"/>
        </w:rPr>
        <w:t>Racon</w:t>
      </w:r>
      <w:proofErr w:type="spellEnd"/>
      <w:r w:rsidRPr="00C12464">
        <w:rPr>
          <w:rFonts w:eastAsia="Calibri"/>
        </w:rPr>
        <w:t xml:space="preserve"> Trials, GLA R&amp;RNAV 2010</w:t>
      </w:r>
      <w:bookmarkEnd w:id="47"/>
    </w:p>
    <w:p w14:paraId="20EEEC19" w14:textId="636B6521" w:rsidR="00663D7D" w:rsidRPr="00C12464" w:rsidRDefault="00663D7D" w:rsidP="00663D7D">
      <w:pPr>
        <w:pStyle w:val="APPENDIX"/>
        <w:numPr>
          <w:ilvl w:val="0"/>
          <w:numId w:val="0"/>
        </w:numPr>
      </w:pPr>
      <w:bookmarkStart w:id="48" w:name="_Toc305918365"/>
    </w:p>
    <w:p w14:paraId="38BD88E0" w14:textId="77777777" w:rsidR="00663D7D" w:rsidRPr="00C12464" w:rsidRDefault="00663D7D">
      <w:pPr>
        <w:spacing w:after="200" w:line="276" w:lineRule="auto"/>
        <w:rPr>
          <w:rFonts w:eastAsia="Calibri" w:cs="Calibri"/>
          <w:b/>
          <w:bCs/>
          <w:i/>
          <w:color w:val="009FDF"/>
          <w:sz w:val="28"/>
          <w:szCs w:val="28"/>
          <w:u w:val="single"/>
        </w:rPr>
      </w:pPr>
      <w:r w:rsidRPr="00C12464">
        <w:br w:type="page"/>
      </w:r>
    </w:p>
    <w:p w14:paraId="07197ED9" w14:textId="08E4487D" w:rsidR="008D16F0" w:rsidRPr="00C12464" w:rsidRDefault="008D16F0" w:rsidP="00663D7D">
      <w:pPr>
        <w:pStyle w:val="APPENDIX"/>
      </w:pPr>
      <w:bookmarkStart w:id="49" w:name="_Toc445221035"/>
      <w:r w:rsidRPr="00C12464">
        <w:lastRenderedPageBreak/>
        <w:t>PROPOSED NAVIGATIONAL REQUIREMENT FOR RACONS</w:t>
      </w:r>
      <w:bookmarkEnd w:id="48"/>
      <w:bookmarkEnd w:id="49"/>
    </w:p>
    <w:p w14:paraId="782403A0" w14:textId="562AE565" w:rsidR="008D16F0" w:rsidRPr="00C12464" w:rsidRDefault="00D2073D" w:rsidP="008D16F0">
      <w:pPr>
        <w:pStyle w:val="AppendixHead1"/>
      </w:pPr>
      <w:r w:rsidRPr="00C12464">
        <w:rPr>
          <w:caps w:val="0"/>
        </w:rPr>
        <w:t>BACKGROUND</w:t>
      </w:r>
    </w:p>
    <w:p w14:paraId="4E7B8B8E" w14:textId="77777777" w:rsidR="00D2073D" w:rsidRPr="00C12464" w:rsidRDefault="00D2073D" w:rsidP="00D2073D">
      <w:pPr>
        <w:pStyle w:val="Heading1separatationline"/>
      </w:pPr>
    </w:p>
    <w:p w14:paraId="18AC0531" w14:textId="77777777" w:rsidR="008D16F0" w:rsidRPr="00C12464" w:rsidRDefault="008D16F0" w:rsidP="008D16F0">
      <w:pPr>
        <w:pStyle w:val="BodyText"/>
      </w:pPr>
      <w:r w:rsidRPr="00C12464">
        <w:t>Racons are an important element of the present and future AtoN mix.</w:t>
      </w:r>
    </w:p>
    <w:p w14:paraId="1A4FEA37" w14:textId="77777777" w:rsidR="008D16F0" w:rsidRPr="00C12464" w:rsidRDefault="008D16F0" w:rsidP="008D16F0">
      <w:pPr>
        <w:pStyle w:val="BodyText"/>
      </w:pPr>
      <w:r w:rsidRPr="00C12464">
        <w:t>IALA Recommendations / Guidelines and the NAVGUIDE set out the following typical uses of Racons:</w:t>
      </w:r>
    </w:p>
    <w:p w14:paraId="06D9096A" w14:textId="77777777" w:rsidR="008D16F0" w:rsidRPr="00C12464" w:rsidRDefault="008D16F0" w:rsidP="00D2073D">
      <w:pPr>
        <w:pStyle w:val="Bullet1"/>
        <w:rPr>
          <w:lang w:val="en-GB"/>
        </w:rPr>
      </w:pPr>
      <w:r w:rsidRPr="00C12464">
        <w:rPr>
          <w:lang w:val="en-GB"/>
        </w:rPr>
        <w:t>Inconspicuous coastlines;</w:t>
      </w:r>
    </w:p>
    <w:p w14:paraId="4F4ADB48" w14:textId="77777777" w:rsidR="008D16F0" w:rsidRPr="00C12464" w:rsidRDefault="008D16F0" w:rsidP="00D2073D">
      <w:pPr>
        <w:pStyle w:val="Bullet1"/>
        <w:rPr>
          <w:lang w:val="en-GB"/>
        </w:rPr>
      </w:pPr>
      <w:r w:rsidRPr="00C12464">
        <w:rPr>
          <w:lang w:val="en-GB"/>
        </w:rPr>
        <w:t>Ice conditions;</w:t>
      </w:r>
    </w:p>
    <w:p w14:paraId="05CB46B5" w14:textId="77777777" w:rsidR="008D16F0" w:rsidRPr="00C12464" w:rsidRDefault="008D16F0" w:rsidP="00D2073D">
      <w:pPr>
        <w:pStyle w:val="Bullet1"/>
        <w:rPr>
          <w:lang w:val="en-GB"/>
        </w:rPr>
      </w:pPr>
      <w:r w:rsidRPr="00C12464">
        <w:rPr>
          <w:lang w:val="en-GB"/>
        </w:rPr>
        <w:t>Identification of AtoN at long range;</w:t>
      </w:r>
    </w:p>
    <w:p w14:paraId="6264304B" w14:textId="77777777" w:rsidR="008D16F0" w:rsidRPr="00C12464" w:rsidRDefault="008D16F0" w:rsidP="00D2073D">
      <w:pPr>
        <w:pStyle w:val="Bullet1"/>
        <w:rPr>
          <w:lang w:val="en-GB"/>
        </w:rPr>
      </w:pPr>
      <w:r w:rsidRPr="00C12464">
        <w:rPr>
          <w:lang w:val="en-GB"/>
        </w:rPr>
        <w:t>Landfall identification;</w:t>
      </w:r>
    </w:p>
    <w:p w14:paraId="389DA355" w14:textId="77777777" w:rsidR="008D16F0" w:rsidRPr="00C12464" w:rsidRDefault="008D16F0" w:rsidP="00D2073D">
      <w:pPr>
        <w:pStyle w:val="Bullet1"/>
        <w:rPr>
          <w:lang w:val="en-GB"/>
        </w:rPr>
      </w:pPr>
      <w:r w:rsidRPr="00C12464">
        <w:rPr>
          <w:lang w:val="en-GB"/>
        </w:rPr>
        <w:t>Traffic Separation Scheme / precautionary area;</w:t>
      </w:r>
    </w:p>
    <w:p w14:paraId="128FD7E9" w14:textId="77777777" w:rsidR="008D16F0" w:rsidRPr="00C12464" w:rsidRDefault="008D16F0" w:rsidP="00D2073D">
      <w:pPr>
        <w:pStyle w:val="Bullet1"/>
        <w:rPr>
          <w:lang w:val="en-GB"/>
        </w:rPr>
      </w:pPr>
      <w:r w:rsidRPr="00C12464">
        <w:rPr>
          <w:lang w:val="en-GB"/>
        </w:rPr>
        <w:t>Hazard marking;</w:t>
      </w:r>
    </w:p>
    <w:p w14:paraId="335ACBEE" w14:textId="77777777" w:rsidR="008D16F0" w:rsidRPr="00C12464" w:rsidRDefault="008D16F0" w:rsidP="00D2073D">
      <w:pPr>
        <w:pStyle w:val="Bullet1"/>
        <w:rPr>
          <w:lang w:val="en-GB"/>
        </w:rPr>
      </w:pPr>
      <w:r w:rsidRPr="00C12464">
        <w:rPr>
          <w:lang w:val="en-GB"/>
        </w:rPr>
        <w:t>Navigable spans under bridges;</w:t>
      </w:r>
    </w:p>
    <w:p w14:paraId="3D4E2B79" w14:textId="77777777" w:rsidR="008D16F0" w:rsidRPr="00C12464" w:rsidRDefault="008D16F0" w:rsidP="00D2073D">
      <w:pPr>
        <w:pStyle w:val="Bullet1"/>
        <w:rPr>
          <w:bCs/>
          <w:lang w:val="en-GB"/>
        </w:rPr>
      </w:pPr>
      <w:r w:rsidRPr="00C12464">
        <w:rPr>
          <w:lang w:val="en-GB"/>
        </w:rPr>
        <w:t>Leading lines;</w:t>
      </w:r>
    </w:p>
    <w:p w14:paraId="7AE69BC4" w14:textId="77777777" w:rsidR="008D16F0" w:rsidRPr="00C12464" w:rsidRDefault="008D16F0" w:rsidP="00D2073D">
      <w:pPr>
        <w:pStyle w:val="Bullet1"/>
        <w:rPr>
          <w:bCs/>
          <w:lang w:val="en-GB"/>
        </w:rPr>
      </w:pPr>
      <w:r w:rsidRPr="00C12464">
        <w:rPr>
          <w:bCs/>
          <w:lang w:val="en-GB"/>
        </w:rPr>
        <w:t>S</w:t>
      </w:r>
      <w:r w:rsidRPr="00C12464">
        <w:rPr>
          <w:lang w:val="en-GB"/>
        </w:rPr>
        <w:t xml:space="preserve">hort range </w:t>
      </w:r>
      <w:proofErr w:type="spellStart"/>
      <w:r w:rsidRPr="00C12464">
        <w:rPr>
          <w:lang w:val="en-GB"/>
        </w:rPr>
        <w:t>Racon</w:t>
      </w:r>
      <w:proofErr w:type="spellEnd"/>
      <w:r w:rsidRPr="00C12464">
        <w:rPr>
          <w:lang w:val="en-GB"/>
        </w:rPr>
        <w:t xml:space="preserve"> identification of a local feature (e.g. a harbour entrance);</w:t>
      </w:r>
    </w:p>
    <w:p w14:paraId="7BF2B419" w14:textId="77777777" w:rsidR="008D16F0" w:rsidRPr="00C12464" w:rsidRDefault="008D16F0" w:rsidP="00D2073D">
      <w:pPr>
        <w:pStyle w:val="Bullet1"/>
        <w:rPr>
          <w:bCs/>
          <w:lang w:val="en-GB"/>
        </w:rPr>
      </w:pPr>
      <w:r w:rsidRPr="00C12464">
        <w:rPr>
          <w:bCs/>
          <w:lang w:val="en-GB"/>
        </w:rPr>
        <w:t>New Dangers (Morse D);</w:t>
      </w:r>
    </w:p>
    <w:p w14:paraId="28F413B3" w14:textId="77777777" w:rsidR="008D16F0" w:rsidRPr="00C12464" w:rsidRDefault="008D16F0" w:rsidP="00D2073D">
      <w:pPr>
        <w:pStyle w:val="Bullet1"/>
        <w:rPr>
          <w:bCs/>
          <w:lang w:val="en-GB"/>
        </w:rPr>
      </w:pPr>
      <w:r w:rsidRPr="00C12464">
        <w:rPr>
          <w:bCs/>
          <w:lang w:val="en-GB"/>
        </w:rPr>
        <w:t>Offshore structures;</w:t>
      </w:r>
    </w:p>
    <w:p w14:paraId="36A4942B" w14:textId="77777777" w:rsidR="008D16F0" w:rsidRPr="00C12464" w:rsidRDefault="008D16F0" w:rsidP="00D2073D">
      <w:pPr>
        <w:pStyle w:val="Bullet1"/>
        <w:rPr>
          <w:bCs/>
          <w:lang w:val="en-GB"/>
        </w:rPr>
      </w:pPr>
      <w:r w:rsidRPr="00C12464">
        <w:rPr>
          <w:bCs/>
          <w:lang w:val="en-GB"/>
        </w:rPr>
        <w:t>Turning Marks.</w:t>
      </w:r>
    </w:p>
    <w:p w14:paraId="62D4FCCD" w14:textId="77777777" w:rsidR="008D16F0" w:rsidRPr="00C12464" w:rsidRDefault="008D16F0" w:rsidP="008D16F0">
      <w:pPr>
        <w:pStyle w:val="BodyText"/>
      </w:pPr>
      <w:r w:rsidRPr="00C12464">
        <w:t xml:space="preserve">In the absence of any specific considerations IALA recommends </w:t>
      </w:r>
      <w:proofErr w:type="gramStart"/>
      <w:r w:rsidRPr="00C12464">
        <w:t>that</w:t>
      </w:r>
      <w:proofErr w:type="gramEnd"/>
      <w:r w:rsidRPr="00C12464">
        <w:t xml:space="preserve"> the availability of a </w:t>
      </w:r>
      <w:proofErr w:type="spellStart"/>
      <w:r w:rsidRPr="00C12464">
        <w:t>Racon</w:t>
      </w:r>
      <w:proofErr w:type="spellEnd"/>
      <w:r w:rsidRPr="00C12464">
        <w:t xml:space="preserve"> should be at least 99.6%, however many authorities treat all Racons as Category 1 AtoN with an availability target of 99.8%.</w:t>
      </w:r>
    </w:p>
    <w:p w14:paraId="1FF333BE" w14:textId="0A7F3980" w:rsidR="008D16F0" w:rsidRPr="00C12464" w:rsidRDefault="00D2073D" w:rsidP="00D2073D">
      <w:pPr>
        <w:pStyle w:val="AppendixHead1"/>
      </w:pPr>
      <w:r w:rsidRPr="00C12464">
        <w:rPr>
          <w:caps w:val="0"/>
        </w:rPr>
        <w:t>REQUIRED RACON RANGE</w:t>
      </w:r>
    </w:p>
    <w:p w14:paraId="74A5A8BD" w14:textId="77777777" w:rsidR="00D2073D" w:rsidRPr="00C12464" w:rsidRDefault="00D2073D" w:rsidP="00D2073D">
      <w:pPr>
        <w:pStyle w:val="Heading1separatationline"/>
      </w:pPr>
    </w:p>
    <w:p w14:paraId="5014CFBF" w14:textId="77777777" w:rsidR="008D16F0" w:rsidRPr="00C12464" w:rsidRDefault="008D16F0" w:rsidP="008D16F0">
      <w:pPr>
        <w:pStyle w:val="BodyText"/>
      </w:pPr>
      <w:proofErr w:type="spellStart"/>
      <w:r w:rsidRPr="00C12464">
        <w:t>Racon</w:t>
      </w:r>
      <w:proofErr w:type="spellEnd"/>
      <w:r w:rsidRPr="00C12464">
        <w:t xml:space="preserve"> range will depend on a number of factors including transmitter power, height of the </w:t>
      </w:r>
      <w:proofErr w:type="spellStart"/>
      <w:r w:rsidRPr="00C12464">
        <w:t>Racon</w:t>
      </w:r>
      <w:proofErr w:type="spellEnd"/>
      <w:r w:rsidRPr="00C12464">
        <w:t xml:space="preserve"> and height of radar.  The Admiralty List of Radio Signals Volume 2 sets out the approximate ranges of Racons presently provided as well as some general information on </w:t>
      </w:r>
      <w:proofErr w:type="spellStart"/>
      <w:r w:rsidRPr="00C12464">
        <w:t>Racon</w:t>
      </w:r>
      <w:proofErr w:type="spellEnd"/>
      <w:r w:rsidRPr="00C12464">
        <w:t xml:space="preserve"> performance.  At present </w:t>
      </w:r>
      <w:proofErr w:type="spellStart"/>
      <w:r w:rsidRPr="00C12464">
        <w:t>Racon</w:t>
      </w:r>
      <w:proofErr w:type="spellEnd"/>
      <w:r w:rsidRPr="00C12464">
        <w:t xml:space="preserve"> ranges are set out in two formats, in some </w:t>
      </w:r>
      <w:proofErr w:type="gramStart"/>
      <w:r w:rsidRPr="00C12464">
        <w:t>cases</w:t>
      </w:r>
      <w:proofErr w:type="gramEnd"/>
      <w:r w:rsidRPr="00C12464">
        <w:t xml:space="preserve"> a single range is given and in others a spread of ranges is given.</w:t>
      </w:r>
    </w:p>
    <w:p w14:paraId="4972B66A" w14:textId="77777777" w:rsidR="008D16F0" w:rsidRPr="00C12464" w:rsidRDefault="008D16F0" w:rsidP="008D16F0">
      <w:pPr>
        <w:pStyle w:val="BodyText"/>
      </w:pPr>
      <w:r w:rsidRPr="00C12464">
        <w:t xml:space="preserve">It </w:t>
      </w:r>
      <w:proofErr w:type="gramStart"/>
      <w:r w:rsidRPr="00C12464">
        <w:t>is proposed</w:t>
      </w:r>
      <w:proofErr w:type="gramEnd"/>
      <w:r w:rsidRPr="00C12464">
        <w:t xml:space="preserve"> that the navigational requirements for </w:t>
      </w:r>
      <w:proofErr w:type="spellStart"/>
      <w:r w:rsidRPr="00C12464">
        <w:t>Racon</w:t>
      </w:r>
      <w:proofErr w:type="spellEnd"/>
      <w:r w:rsidRPr="00C12464">
        <w:t xml:space="preserve"> range (regardless of radar type) should be a minimum of 5 nautical miles from a floating AtoN and 10 nautical miles from a fixed AtoN.  These figures </w:t>
      </w:r>
      <w:proofErr w:type="gramStart"/>
      <w:r w:rsidRPr="00C12464">
        <w:t>are based</w:t>
      </w:r>
      <w:proofErr w:type="gramEnd"/>
      <w:r w:rsidRPr="00C12464">
        <w:t xml:space="preserve"> on a typical height of </w:t>
      </w:r>
      <w:proofErr w:type="spellStart"/>
      <w:r w:rsidRPr="00C12464">
        <w:t>Racon</w:t>
      </w:r>
      <w:proofErr w:type="spellEnd"/>
      <w:r w:rsidRPr="00C12464">
        <w:t xml:space="preserve"> of 5 metres for floating and 20 metres for fixed Racons and a radar height of 20 metres.</w:t>
      </w:r>
    </w:p>
    <w:p w14:paraId="50CCED27" w14:textId="77777777" w:rsidR="008D16F0" w:rsidRPr="00C12464" w:rsidRDefault="008D16F0" w:rsidP="008D16F0">
      <w:pPr>
        <w:pStyle w:val="BodyText"/>
      </w:pPr>
      <w:r w:rsidRPr="00C12464">
        <w:t>This performance level ignores the effect of fading due to multi-path interference, the impact of which will vary with the heights of antennas above sea level and with sea state.</w:t>
      </w:r>
    </w:p>
    <w:p w14:paraId="60B2D98B" w14:textId="318F2BC7" w:rsidR="008D16F0" w:rsidRPr="00C12464" w:rsidRDefault="00D2073D" w:rsidP="00D2073D">
      <w:pPr>
        <w:pStyle w:val="AppendixHead1"/>
      </w:pPr>
      <w:r w:rsidRPr="00C12464">
        <w:rPr>
          <w:caps w:val="0"/>
        </w:rPr>
        <w:t>RELATED DOCUMENTATION</w:t>
      </w:r>
    </w:p>
    <w:p w14:paraId="4DCDA86F" w14:textId="77777777" w:rsidR="00D2073D" w:rsidRPr="00C12464" w:rsidRDefault="00D2073D" w:rsidP="00D2073D">
      <w:pPr>
        <w:pStyle w:val="Heading1separatationline"/>
      </w:pPr>
    </w:p>
    <w:p w14:paraId="4850844F" w14:textId="77777777" w:rsidR="008D16F0" w:rsidRPr="00C12464" w:rsidRDefault="008D16F0" w:rsidP="00D2073D">
      <w:pPr>
        <w:pStyle w:val="List1"/>
        <w:rPr>
          <w:rFonts w:eastAsia="Calibri"/>
        </w:rPr>
      </w:pPr>
      <w:r w:rsidRPr="00C12464">
        <w:rPr>
          <w:rFonts w:eastAsia="Calibri"/>
        </w:rPr>
        <w:t xml:space="preserve">IALA Guideline 1010 </w:t>
      </w:r>
      <w:proofErr w:type="spellStart"/>
      <w:r w:rsidRPr="00C12464">
        <w:rPr>
          <w:rFonts w:eastAsia="Calibri"/>
        </w:rPr>
        <w:t>Racon</w:t>
      </w:r>
      <w:proofErr w:type="spellEnd"/>
      <w:r w:rsidRPr="00C12464">
        <w:rPr>
          <w:rFonts w:eastAsia="Calibri"/>
        </w:rPr>
        <w:t xml:space="preserve"> range performance.</w:t>
      </w:r>
    </w:p>
    <w:p w14:paraId="53F0AA3B" w14:textId="77777777" w:rsidR="008D16F0" w:rsidRPr="00C12464" w:rsidRDefault="008D16F0" w:rsidP="00D2073D">
      <w:pPr>
        <w:pStyle w:val="List1"/>
        <w:rPr>
          <w:rFonts w:eastAsia="Calibri"/>
        </w:rPr>
      </w:pPr>
      <w:r w:rsidRPr="00C12464">
        <w:rPr>
          <w:rFonts w:eastAsia="Calibri"/>
        </w:rPr>
        <w:t>IALA Recommendation R-101 Maritime Radar Beacons (Racons).</w:t>
      </w:r>
    </w:p>
    <w:p w14:paraId="52BF89FA" w14:textId="77777777" w:rsidR="008D16F0" w:rsidRPr="00C12464" w:rsidRDefault="008D16F0" w:rsidP="00D2073D">
      <w:pPr>
        <w:pStyle w:val="List1"/>
        <w:rPr>
          <w:rFonts w:eastAsia="Calibri"/>
        </w:rPr>
      </w:pPr>
      <w:r w:rsidRPr="00C12464">
        <w:rPr>
          <w:rFonts w:eastAsia="Calibri"/>
        </w:rPr>
        <w:t>IALA Recommendation O-113 for the marking of fixed bridges.</w:t>
      </w:r>
    </w:p>
    <w:p w14:paraId="191D0EEB" w14:textId="77777777" w:rsidR="008D16F0" w:rsidRPr="00C12464" w:rsidRDefault="008D16F0" w:rsidP="00D2073D">
      <w:pPr>
        <w:pStyle w:val="List1"/>
        <w:rPr>
          <w:rFonts w:eastAsia="Calibri"/>
        </w:rPr>
      </w:pPr>
      <w:r w:rsidRPr="00C12464">
        <w:rPr>
          <w:rFonts w:eastAsia="Calibri"/>
        </w:rPr>
        <w:t>IALA NAVGUIDE.</w:t>
      </w:r>
    </w:p>
    <w:p w14:paraId="0AD211B6" w14:textId="77777777" w:rsidR="008D16F0" w:rsidRPr="00C12464" w:rsidRDefault="008D16F0" w:rsidP="00D2073D">
      <w:pPr>
        <w:pStyle w:val="List1"/>
        <w:rPr>
          <w:rFonts w:eastAsia="Calibri"/>
        </w:rPr>
      </w:pPr>
      <w:r w:rsidRPr="00C12464">
        <w:rPr>
          <w:rFonts w:eastAsia="Calibri"/>
        </w:rPr>
        <w:t xml:space="preserve">IMO Resolution </w:t>
      </w:r>
      <w:proofErr w:type="gramStart"/>
      <w:r w:rsidRPr="00C12464">
        <w:rPr>
          <w:rFonts w:eastAsia="Calibri"/>
        </w:rPr>
        <w:t>MSC.192(</w:t>
      </w:r>
      <w:proofErr w:type="gramEnd"/>
      <w:r w:rsidRPr="00C12464">
        <w:rPr>
          <w:rFonts w:eastAsia="Calibri"/>
        </w:rPr>
        <w:t>79) –  Radar Performance Standards.</w:t>
      </w:r>
    </w:p>
    <w:p w14:paraId="18CA94A6" w14:textId="37FE1968" w:rsidR="008D16F0" w:rsidRPr="00C12464" w:rsidRDefault="008D16F0" w:rsidP="00D2073D">
      <w:pPr>
        <w:pStyle w:val="List1"/>
      </w:pPr>
      <w:r w:rsidRPr="00C12464">
        <w:rPr>
          <w:rFonts w:eastAsia="Calibri"/>
        </w:rPr>
        <w:t>Admiralty List of Radio Signals Volume 2, UK Hydrographic Office.</w:t>
      </w:r>
    </w:p>
    <w:sectPr w:rsidR="008D16F0" w:rsidRPr="00C12464" w:rsidSect="0083218D">
      <w:headerReference w:type="default" r:id="rId15"/>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C5B47" w14:textId="77777777" w:rsidR="00B53FD1" w:rsidRDefault="00B53FD1" w:rsidP="003274DB">
      <w:r>
        <w:separator/>
      </w:r>
    </w:p>
    <w:p w14:paraId="3FC6A77E" w14:textId="77777777" w:rsidR="00B53FD1" w:rsidRDefault="00B53FD1"/>
  </w:endnote>
  <w:endnote w:type="continuationSeparator" w:id="0">
    <w:p w14:paraId="03046BF1" w14:textId="77777777" w:rsidR="00B53FD1" w:rsidRDefault="00B53FD1" w:rsidP="003274DB">
      <w:r>
        <w:continuationSeparator/>
      </w:r>
    </w:p>
    <w:p w14:paraId="5BADA682" w14:textId="77777777" w:rsidR="00B53FD1" w:rsidRDefault="00B53F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2D70B" w14:textId="77777777" w:rsidR="002470C9" w:rsidRPr="004E7119" w:rsidRDefault="002470C9" w:rsidP="002470C9">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6912" behindDoc="0" locked="0" layoutInCell="1" allowOverlap="1" wp14:anchorId="2738663E" wp14:editId="39B70D6C">
              <wp:simplePos x="0" y="0"/>
              <wp:positionH relativeFrom="page">
                <wp:posOffset>249992</wp:posOffset>
              </wp:positionH>
              <wp:positionV relativeFrom="page">
                <wp:posOffset>9106711</wp:posOffset>
              </wp:positionV>
              <wp:extent cx="7128000" cy="0"/>
              <wp:effectExtent l="0" t="0" r="15875" b="19050"/>
              <wp:wrapNone/>
              <wp:docPr id="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292F763F" id="Connecteur droit 11" o:spid="_x0000_s1026" style="position:absolute;z-index:2516869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" strokecolor="#00558c [3204]" strokeweight="1pt">
              <w10:wrap anchorx="page" anchory="page"/>
            </v:line>
          </w:pict>
        </mc:Fallback>
      </mc:AlternateContent>
    </w:r>
    <w:r w:rsidRPr="004E7119">
      <w:rPr>
        <w:color w:val="808080" w:themeColor="background1" w:themeShade="80"/>
        <w:sz w:val="16"/>
        <w:szCs w:val="16"/>
        <w:lang w:val="fr-FR"/>
      </w:rPr>
      <w:t xml:space="preserve">10, rue des </w:t>
    </w:r>
    <w:proofErr w:type="spellStart"/>
    <w:r w:rsidRPr="004E7119">
      <w:rPr>
        <w:color w:val="808080" w:themeColor="background1" w:themeShade="80"/>
        <w:sz w:val="16"/>
        <w:szCs w:val="16"/>
        <w:lang w:val="fr-FR"/>
      </w:rPr>
      <w:t>Gaudines</w:t>
    </w:r>
    <w:proofErr w:type="spellEnd"/>
    <w:r w:rsidRPr="004E7119">
      <w:rPr>
        <w:color w:val="808080" w:themeColor="background1" w:themeShade="80"/>
        <w:sz w:val="16"/>
        <w:szCs w:val="16"/>
        <w:lang w:val="fr-FR"/>
      </w:rPr>
      <w:t xml:space="preserve"> – 78100 Saint Germain en Laye, France</w:t>
    </w:r>
  </w:p>
  <w:p w14:paraId="44207DC3" w14:textId="77777777" w:rsidR="002470C9" w:rsidRDefault="002470C9" w:rsidP="002470C9">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2D858798" w14:textId="77777777" w:rsidR="002470C9" w:rsidRPr="004E7119" w:rsidRDefault="002470C9" w:rsidP="002470C9">
    <w:pPr>
      <w:spacing w:before="40" w:after="40"/>
      <w:rPr>
        <w:b/>
        <w:color w:val="00558C"/>
        <w:szCs w:val="18"/>
      </w:rPr>
    </w:pPr>
    <w:r w:rsidRPr="004E7119">
      <w:rPr>
        <w:b/>
        <w:color w:val="00558C"/>
        <w:szCs w:val="18"/>
      </w:rPr>
      <w:t>www.iala-aism.org</w:t>
    </w:r>
  </w:p>
  <w:p w14:paraId="76AF9F51" w14:textId="77777777" w:rsidR="002470C9" w:rsidRDefault="002470C9" w:rsidP="002470C9">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2999534" w14:textId="4A7FE31B" w:rsidR="002E4993" w:rsidRPr="00ED2A8D" w:rsidRDefault="002470C9" w:rsidP="002470C9">
    <w:pPr>
      <w:pStyle w:val="Footer"/>
    </w:pPr>
    <w:r>
      <w:rPr>
        <w:rFonts w:ascii="Avenir Next Condensed" w:hAnsi="Avenir Next Condensed"/>
        <w:iCs/>
        <w:color w:val="00558C"/>
        <w:sz w:val="16"/>
        <w:szCs w:val="16"/>
      </w:rPr>
      <w:t xml:space="preserve">Association </w:t>
    </w:r>
    <w:proofErr w:type="spellStart"/>
    <w:r>
      <w:rPr>
        <w:rFonts w:ascii="Avenir Next Condensed" w:hAnsi="Avenir Next Condensed"/>
        <w:iCs/>
        <w:color w:val="00558C"/>
        <w:sz w:val="16"/>
        <w:szCs w:val="16"/>
      </w:rPr>
      <w:t>Internationale</w:t>
    </w:r>
    <w:proofErr w:type="spellEnd"/>
    <w:r>
      <w:rPr>
        <w:rFonts w:ascii="Avenir Next Condensed" w:hAnsi="Avenir Next Condensed"/>
        <w:iCs/>
        <w:color w:val="00558C"/>
        <w:sz w:val="16"/>
        <w:szCs w:val="16"/>
      </w:rPr>
      <w:t xml:space="preserv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64EF5" w14:textId="77777777" w:rsidR="007A72CF" w:rsidRPr="007A72CF" w:rsidRDefault="007A72CF" w:rsidP="007A72CF">
    <w:pPr>
      <w:pStyle w:val="Footer"/>
      <w:rPr>
        <w:sz w:val="15"/>
        <w:szCs w:val="15"/>
      </w:rPr>
    </w:pPr>
  </w:p>
  <w:p w14:paraId="56EB7F77" w14:textId="77777777" w:rsidR="007A72CF" w:rsidRDefault="007A72CF" w:rsidP="007A72CF">
    <w:pPr>
      <w:pStyle w:val="Footerportrait"/>
    </w:pPr>
  </w:p>
  <w:p w14:paraId="63A42BEB" w14:textId="48E6B47A" w:rsidR="007A72CF" w:rsidRPr="007A72CF" w:rsidRDefault="00B53FD1" w:rsidP="007A72CF">
    <w:pPr>
      <w:pStyle w:val="Footerportrait"/>
      <w:rPr>
        <w:rStyle w:val="PageNumber"/>
      </w:rPr>
    </w:pPr>
    <w:r>
      <w:fldChar w:fldCharType="begin"/>
    </w:r>
    <w:r>
      <w:instrText xml:space="preserve"> STYLEREF "Document type" \* MERGEFORMAT </w:instrText>
    </w:r>
    <w:r>
      <w:fldChar w:fldCharType="separate"/>
    </w:r>
    <w:r w:rsidR="00B706C3">
      <w:t>IALA Recommendation</w:t>
    </w:r>
    <w:r>
      <w:fldChar w:fldCharType="end"/>
    </w:r>
    <w:r w:rsidR="007A72CF">
      <w:t xml:space="preserve"> </w:t>
    </w:r>
    <w:fldSimple w:instr=" STYLEREF &quot;Document number&quot; \* MERGEFORMAT ">
      <w:r w:rsidR="00B706C3">
        <w:t>e-NAV 146</w:t>
      </w:r>
    </w:fldSimple>
    <w:r w:rsidR="00564664">
      <w:t xml:space="preserve"> </w:t>
    </w:r>
    <w:r>
      <w:fldChar w:fldCharType="begin"/>
    </w:r>
    <w:r>
      <w:instrText xml:space="preserve"> STYLEREF "Document name" \* MERGEFORMAT </w:instrText>
    </w:r>
    <w:r>
      <w:fldChar w:fldCharType="separate"/>
    </w:r>
    <w:r w:rsidR="00B706C3">
      <w:t>Strategy for maintaining Racon service capability</w:t>
    </w:r>
    <w:r>
      <w:fldChar w:fldCharType="end"/>
    </w:r>
    <w:r w:rsidR="007A72CF">
      <w:tab/>
    </w:r>
  </w:p>
  <w:p w14:paraId="61EA7143" w14:textId="4B31E729" w:rsidR="008608A4" w:rsidRDefault="004F3118" w:rsidP="007A72CF">
    <w:pPr>
      <w:pStyle w:val="Footerportrait"/>
    </w:pPr>
    <w:fldSimple w:instr=" STYLEREF &quot;Edition number&quot; \* MERGEFORMAT ">
      <w:r w:rsidR="00B706C3">
        <w:t>Edition 1.0</w:t>
      </w:r>
    </w:fldSimple>
    <w:r w:rsidR="007A72CF">
      <w:t xml:space="preserve"> </w:t>
    </w:r>
    <w:fldSimple w:instr=" STYLEREF &quot;Document date&quot; \* MERGEFORMAT ">
      <w:r w:rsidR="00B706C3">
        <w:t>December 2011</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B706C3">
      <w:t>10</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9AF277" w14:textId="77777777" w:rsidR="00B53FD1" w:rsidRDefault="00B53FD1" w:rsidP="003274DB">
      <w:r>
        <w:separator/>
      </w:r>
    </w:p>
    <w:p w14:paraId="30546F09" w14:textId="77777777" w:rsidR="00B53FD1" w:rsidRDefault="00B53FD1"/>
  </w:footnote>
  <w:footnote w:type="continuationSeparator" w:id="0">
    <w:p w14:paraId="236304D9" w14:textId="77777777" w:rsidR="00B53FD1" w:rsidRDefault="00B53FD1" w:rsidP="003274DB">
      <w:r>
        <w:continuationSeparator/>
      </w:r>
    </w:p>
    <w:p w14:paraId="28BDC35A" w14:textId="77777777" w:rsidR="00B53FD1" w:rsidRDefault="00B53F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DC79A" w14:textId="74D93961" w:rsidR="002E4993" w:rsidRPr="00ED2A8D" w:rsidRDefault="002E4993" w:rsidP="00B706C3">
    <w:pPr>
      <w:pStyle w:val="Header"/>
      <w:jc w:val="right"/>
    </w:pPr>
    <w:r w:rsidRPr="00442889">
      <w:rPr>
        <w:noProof/>
        <w:lang w:val="en-IE" w:eastAsia="en-IE"/>
      </w:rPr>
      <w:drawing>
        <wp:anchor distT="0" distB="0" distL="114300" distR="114300" simplePos="0" relativeHeight="251657214"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706C3">
      <w:t>ENAV20-13.7</w:t>
    </w:r>
  </w:p>
  <w:p w14:paraId="789F2CF1" w14:textId="77777777" w:rsidR="002E4993" w:rsidRPr="00ED2A8D" w:rsidRDefault="002E4993" w:rsidP="008747E0">
    <w:pPr>
      <w:pStyle w:val="Header"/>
    </w:pPr>
  </w:p>
  <w:p w14:paraId="0D8C1D21" w14:textId="77777777" w:rsidR="002E4993" w:rsidRDefault="002E4993" w:rsidP="008747E0">
    <w:pPr>
      <w:pStyle w:val="Header"/>
    </w:pPr>
  </w:p>
  <w:p w14:paraId="53462CF7" w14:textId="77777777" w:rsidR="002E4993" w:rsidRDefault="002E4993" w:rsidP="008747E0">
    <w:pPr>
      <w:pStyle w:val="Header"/>
    </w:pPr>
  </w:p>
  <w:p w14:paraId="4637DF7D" w14:textId="77777777" w:rsidR="002E4993" w:rsidRDefault="002E4993" w:rsidP="008747E0">
    <w:pPr>
      <w:pStyle w:val="Header"/>
    </w:pPr>
  </w:p>
  <w:p w14:paraId="68859D7E" w14:textId="77777777" w:rsidR="002E4993" w:rsidRDefault="002E4993" w:rsidP="008747E0">
    <w:pPr>
      <w:pStyle w:val="Header"/>
    </w:pPr>
  </w:p>
  <w:p w14:paraId="68F7D7DE"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2E4993" w:rsidRPr="00ED2A8D" w:rsidRDefault="002E4993" w:rsidP="008747E0">
    <w:pPr>
      <w:pStyle w:val="Header"/>
    </w:pPr>
  </w:p>
  <w:p w14:paraId="2359230C"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2E4993" w:rsidRPr="00ED2A8D" w:rsidRDefault="002E4993" w:rsidP="008747E0">
    <w:pPr>
      <w:pStyle w:val="Header"/>
    </w:pPr>
  </w:p>
  <w:p w14:paraId="4196D5A3" w14:textId="77777777" w:rsidR="002E4993" w:rsidRDefault="002E4993" w:rsidP="008747E0">
    <w:pPr>
      <w:pStyle w:val="Header"/>
    </w:pPr>
  </w:p>
  <w:p w14:paraId="528EA521" w14:textId="77777777" w:rsidR="002E4993" w:rsidRDefault="002E4993" w:rsidP="008747E0">
    <w:pPr>
      <w:pStyle w:val="Header"/>
    </w:pPr>
  </w:p>
  <w:p w14:paraId="4561D7CD" w14:textId="77777777" w:rsidR="002E4993" w:rsidRDefault="002E4993" w:rsidP="008747E0">
    <w:pPr>
      <w:pStyle w:val="Header"/>
    </w:pPr>
  </w:p>
  <w:p w14:paraId="55A0B421" w14:textId="5AAA95B1" w:rsidR="002E4993" w:rsidRPr="00441393" w:rsidRDefault="002E4993" w:rsidP="00441393">
    <w:pPr>
      <w:pStyle w:val="Contents"/>
    </w:pPr>
    <w:r>
      <w:t>DOCUMENT REVISION</w:t>
    </w:r>
  </w:p>
  <w:p w14:paraId="5B698B96" w14:textId="77777777" w:rsidR="002E4993" w:rsidRPr="00ED2A8D" w:rsidRDefault="002E4993" w:rsidP="008747E0">
    <w:pPr>
      <w:pStyle w:val="Header"/>
    </w:pPr>
  </w:p>
  <w:p w14:paraId="7B1CF08D"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B1FDE" w14:textId="5F0E96A1"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72DDC03A" wp14:editId="0F803057">
          <wp:simplePos x="0" y="0"/>
          <wp:positionH relativeFrom="page">
            <wp:posOffset>6850851</wp:posOffset>
          </wp:positionH>
          <wp:positionV relativeFrom="page">
            <wp:posOffset>4111</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37F9E" w14:textId="77777777" w:rsidR="00DD3E15" w:rsidRDefault="00DD3E15" w:rsidP="00667792">
    <w:pPr>
      <w:pStyle w:val="Header"/>
    </w:pPr>
  </w:p>
  <w:p w14:paraId="72D3AA9C" w14:textId="77777777" w:rsidR="00DD3E15" w:rsidRDefault="00DD3E15" w:rsidP="00667792">
    <w:pPr>
      <w:pStyle w:val="Header"/>
    </w:pPr>
  </w:p>
  <w:p w14:paraId="3D451730" w14:textId="77777777" w:rsidR="00DD3E15" w:rsidRDefault="00DD3E15" w:rsidP="00667792">
    <w:pPr>
      <w:pStyle w:val="Header"/>
    </w:pPr>
  </w:p>
  <w:p w14:paraId="1E97514D" w14:textId="77777777" w:rsidR="00DD3E15" w:rsidRDefault="00DD3E15" w:rsidP="00667792">
    <w:pPr>
      <w:pStyle w:val="Header"/>
    </w:pPr>
  </w:p>
  <w:p w14:paraId="2E16A7AD" w14:textId="77777777" w:rsidR="00DD3E15" w:rsidRDefault="00DD3E15" w:rsidP="00667792">
    <w:pPr>
      <w:pStyle w:val="Header"/>
    </w:pPr>
  </w:p>
  <w:p w14:paraId="362B743C" w14:textId="77777777" w:rsidR="00DD3E15" w:rsidRPr="00441393" w:rsidRDefault="00DD3E15" w:rsidP="00DD3E15">
    <w:pPr>
      <w:pStyle w:val="Contents"/>
    </w:pPr>
    <w:r>
      <w:t>Contents</w:t>
    </w:r>
  </w:p>
  <w:p w14:paraId="3C16FA36" w14:textId="77777777" w:rsidR="00DD3E15" w:rsidRPr="00ED2A8D" w:rsidRDefault="00DD3E15" w:rsidP="00DD3E15">
    <w:pPr>
      <w:pStyle w:val="Header"/>
    </w:pPr>
  </w:p>
  <w:p w14:paraId="5889D058" w14:textId="77777777" w:rsidR="00DD3E15" w:rsidRPr="00667792" w:rsidRDefault="00DD3E15" w:rsidP="00667792">
    <w:pPr>
      <w:pStyle w:val="Header"/>
    </w:pPr>
    <w:r>
      <w:rPr>
        <w:noProof/>
        <w:lang w:val="en-IE" w:eastAsia="en-IE"/>
      </w:rPr>
      <w:drawing>
        <wp:anchor distT="0" distB="0" distL="114300" distR="114300" simplePos="0" relativeHeight="251682816" behindDoc="1" locked="0" layoutInCell="1" allowOverlap="1" wp14:anchorId="3A0A9AEF" wp14:editId="43E689EE">
          <wp:simplePos x="0" y="0"/>
          <wp:positionH relativeFrom="page">
            <wp:posOffset>6850851</wp:posOffset>
          </wp:positionH>
          <wp:positionV relativeFrom="page">
            <wp:posOffset>4111</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121D3" w14:textId="77777777" w:rsidR="00024C23" w:rsidRPr="00667792" w:rsidRDefault="00024C23" w:rsidP="00667792">
    <w:pPr>
      <w:pStyle w:val="Header"/>
    </w:pPr>
    <w:r>
      <w:rPr>
        <w:noProof/>
        <w:lang w:val="en-IE" w:eastAsia="en-IE"/>
      </w:rPr>
      <w:drawing>
        <wp:anchor distT="0" distB="0" distL="114300" distR="114300" simplePos="0" relativeHeight="251684864" behindDoc="1" locked="0" layoutInCell="1" allowOverlap="1" wp14:anchorId="497B757E" wp14:editId="20573473">
          <wp:simplePos x="0" y="0"/>
          <wp:positionH relativeFrom="page">
            <wp:posOffset>6850851</wp:posOffset>
          </wp:positionH>
          <wp:positionV relativeFrom="page">
            <wp:posOffset>4111</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2B2A1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A2E7A40"/>
    <w:lvl w:ilvl="0">
      <w:start w:val="1"/>
      <w:numFmt w:val="decimal"/>
      <w:lvlText w:val="%1."/>
      <w:lvlJc w:val="left"/>
      <w:pPr>
        <w:tabs>
          <w:tab w:val="num" w:pos="1800"/>
        </w:tabs>
        <w:ind w:left="1800" w:hanging="360"/>
      </w:pPr>
    </w:lvl>
  </w:abstractNum>
  <w:abstractNum w:abstractNumId="2">
    <w:nsid w:val="FFFFFF7D"/>
    <w:multiLevelType w:val="singleLevel"/>
    <w:tmpl w:val="77CE8050"/>
    <w:lvl w:ilvl="0">
      <w:start w:val="1"/>
      <w:numFmt w:val="decimal"/>
      <w:lvlText w:val="%1."/>
      <w:lvlJc w:val="left"/>
      <w:pPr>
        <w:tabs>
          <w:tab w:val="num" w:pos="1440"/>
        </w:tabs>
        <w:ind w:left="1440" w:hanging="360"/>
      </w:pPr>
    </w:lvl>
  </w:abstractNum>
  <w:abstractNum w:abstractNumId="3">
    <w:nsid w:val="FFFFFF7F"/>
    <w:multiLevelType w:val="singleLevel"/>
    <w:tmpl w:val="EDB00050"/>
    <w:lvl w:ilvl="0">
      <w:start w:val="1"/>
      <w:numFmt w:val="decimal"/>
      <w:lvlText w:val="%1."/>
      <w:lvlJc w:val="left"/>
      <w:pPr>
        <w:tabs>
          <w:tab w:val="num" w:pos="720"/>
        </w:tabs>
        <w:ind w:left="720" w:hanging="360"/>
      </w:pPr>
    </w:lvl>
  </w:abstractNum>
  <w:abstractNum w:abstractNumId="4">
    <w:nsid w:val="FFFFFF80"/>
    <w:multiLevelType w:val="singleLevel"/>
    <w:tmpl w:val="0DBC520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C9CFA3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34414F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1209A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442C3BA"/>
    <w:lvl w:ilvl="0">
      <w:start w:val="1"/>
      <w:numFmt w:val="decimal"/>
      <w:lvlText w:val="%1."/>
      <w:lvlJc w:val="left"/>
      <w:pPr>
        <w:tabs>
          <w:tab w:val="num" w:pos="360"/>
        </w:tabs>
        <w:ind w:left="360" w:hanging="360"/>
      </w:pPr>
    </w:lvl>
  </w:abstractNum>
  <w:abstractNum w:abstractNumId="9">
    <w:nsid w:val="FFFFFF89"/>
    <w:multiLevelType w:val="singleLevel"/>
    <w:tmpl w:val="42309AC2"/>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1E9CB260"/>
    <w:lvl w:ilvl="0" w:tplc="8C30ADAC">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1745FB"/>
    <w:multiLevelType w:val="multilevel"/>
    <w:tmpl w:val="DFE4F1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6E052A"/>
    <w:multiLevelType w:val="multilevel"/>
    <w:tmpl w:val="F1AAB32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16102258"/>
    <w:multiLevelType w:val="multilevel"/>
    <w:tmpl w:val="8FB4906A"/>
    <w:lvl w:ilvl="0">
      <w:start w:val="1"/>
      <w:numFmt w:val="decimal"/>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9A1740F"/>
    <w:multiLevelType w:val="multilevel"/>
    <w:tmpl w:val="006C6C4A"/>
    <w:lvl w:ilvl="0">
      <w:start w:val="1"/>
      <w:numFmt w:val="decimal"/>
      <w:pStyle w:val="APPENDIX"/>
      <w:lvlText w:val="APPENDIX %1"/>
      <w:lvlJc w:val="left"/>
      <w:pPr>
        <w:ind w:left="1985" w:hanging="1985"/>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DDA7DF4"/>
    <w:multiLevelType w:val="multilevel"/>
    <w:tmpl w:val="8A6E27A4"/>
    <w:lvl w:ilvl="0">
      <w:start w:val="1"/>
      <w:numFmt w:val="upperLetter"/>
      <w:suff w:val="nothing"/>
      <w:lvlText w:val="ANNEX %1"/>
      <w:lvlJc w:val="left"/>
      <w:pPr>
        <w:ind w:left="0" w:firstLine="0"/>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8A765086"/>
    <w:lvl w:ilvl="0">
      <w:start w:val="1"/>
      <w:numFmt w:val="decimal"/>
      <w:pStyle w:val="Figurecaption"/>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F07426EA"/>
    <w:lvl w:ilvl="0">
      <w:start w:val="1"/>
      <w:numFmt w:val="decimal"/>
      <w:lvlText w:val="A %1."/>
      <w:lvlJc w:val="left"/>
      <w:pPr>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lvlText w:val="A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A5A5B4B"/>
    <w:multiLevelType w:val="multilevel"/>
    <w:tmpl w:val="FB384D8E"/>
    <w:lvl w:ilvl="0">
      <w:start w:val="1"/>
      <w:numFmt w:val="decimal"/>
      <w:lvlText w:val="A %1."/>
      <w:lvlJc w:val="left"/>
      <w:pPr>
        <w:ind w:left="432" w:hanging="432"/>
      </w:pPr>
      <w:rPr>
        <w:rFonts w:asciiTheme="minorHAnsi" w:hAnsiTheme="minorHAnsi" w:hint="default"/>
        <w:b/>
        <w:i w:val="0"/>
        <w:caps/>
        <w:color w:val="009FDF"/>
        <w:sz w:val="28"/>
      </w:rPr>
    </w:lvl>
    <w:lvl w:ilvl="1">
      <w:start w:val="1"/>
      <w:numFmt w:val="decimal"/>
      <w:lvlText w:val="A %1.%2."/>
      <w:lvlJc w:val="left"/>
      <w:pPr>
        <w:ind w:left="576" w:hanging="576"/>
      </w:pPr>
      <w:rPr>
        <w:rFonts w:asciiTheme="minorHAnsi" w:hAnsiTheme="minorHAnsi" w:hint="default"/>
        <w:b/>
        <w:i w:val="0"/>
        <w:caps/>
        <w:color w:val="009FDF"/>
        <w:sz w:val="24"/>
      </w:rPr>
    </w:lvl>
    <w:lvl w:ilvl="2">
      <w:start w:val="1"/>
      <w:numFmt w:val="decimal"/>
      <w:lvlText w:val="A %1.%2.%3."/>
      <w:lvlJc w:val="left"/>
      <w:pPr>
        <w:ind w:left="720" w:hanging="720"/>
      </w:pPr>
      <w:rPr>
        <w:rFonts w:asciiTheme="minorHAnsi" w:hAnsiTheme="minorHAnsi" w:hint="default"/>
        <w:b/>
        <w:i w:val="0"/>
        <w:caps/>
        <w:color w:val="009FDF"/>
        <w:sz w:val="24"/>
      </w:rPr>
    </w:lvl>
    <w:lvl w:ilvl="3">
      <w:start w:val="1"/>
      <w:numFmt w:val="decimal"/>
      <w:lvlText w:val="A %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1F0B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61A18E3"/>
    <w:multiLevelType w:val="multilevel"/>
    <w:tmpl w:val="AEAA45B8"/>
    <w:lvl w:ilvl="0">
      <w:start w:val="1"/>
      <w:numFmt w:val="decimal"/>
      <w:lvlText w:val="%1"/>
      <w:lvlJc w:val="left"/>
      <w:pPr>
        <w:ind w:left="432" w:hanging="432"/>
      </w:pPr>
      <w:rPr>
        <w:rFonts w:asciiTheme="minorHAnsi" w:hAnsiTheme="minorHAnsi" w:hint="default"/>
        <w:b/>
        <w:i w:val="0"/>
        <w:caps/>
        <w:color w:val="83D0F5"/>
        <w:sz w:val="28"/>
      </w:rPr>
    </w:lvl>
    <w:lvl w:ilvl="1">
      <w:start w:val="1"/>
      <w:numFmt w:val="decimal"/>
      <w:lvlText w:val="%1.%2"/>
      <w:lvlJc w:val="left"/>
      <w:pPr>
        <w:ind w:left="576" w:hanging="576"/>
      </w:pPr>
      <w:rPr>
        <w:rFonts w:asciiTheme="minorHAnsi" w:hAnsiTheme="minorHAnsi" w:hint="default"/>
        <w:b/>
        <w:i w:val="0"/>
        <w:caps/>
        <w:color w:val="83D0F5"/>
        <w:sz w:val="24"/>
      </w:rPr>
    </w:lvl>
    <w:lvl w:ilvl="2">
      <w:start w:val="1"/>
      <w:numFmt w:val="decimal"/>
      <w:lvlText w:val="%1.%2.%3"/>
      <w:lvlJc w:val="left"/>
      <w:pPr>
        <w:ind w:left="720" w:hanging="720"/>
      </w:pPr>
      <w:rPr>
        <w:rFonts w:asciiTheme="minorHAnsi" w:hAnsiTheme="minorHAnsi" w:hint="default"/>
        <w:b/>
        <w:i w:val="0"/>
        <w:caps/>
        <w:color w:val="83D0F5"/>
        <w:sz w:val="24"/>
      </w:rPr>
    </w:lvl>
    <w:lvl w:ilvl="3">
      <w:start w:val="1"/>
      <w:numFmt w:val="decimal"/>
      <w:lvlText w:val="%1.%2.%3.%4"/>
      <w:lvlJc w:val="left"/>
      <w:pPr>
        <w:ind w:left="864" w:hanging="864"/>
      </w:pPr>
      <w:rPr>
        <w:rFonts w:asciiTheme="minorHAnsi" w:hAnsiTheme="minorHAnsi" w:hint="default"/>
        <w:b/>
        <w:i w:val="0"/>
        <w:color w:val="83D0F5"/>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4B7D4C0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512549AD"/>
    <w:multiLevelType w:val="multilevel"/>
    <w:tmpl w:val="BDA86BAC"/>
    <w:lvl w:ilvl="0">
      <w:start w:val="1"/>
      <w:numFmt w:val="bullet"/>
      <w:lvlText w:val=""/>
      <w:lvlJc w:val="left"/>
      <w:pPr>
        <w:ind w:left="1559" w:hanging="567"/>
      </w:pPr>
      <w:rPr>
        <w:rFonts w:ascii="Symbol" w:hAnsi="Symbol" w:hint="default"/>
        <w:color w:val="83D0F5"/>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nsid w:val="5A066901"/>
    <w:multiLevelType w:val="multilevel"/>
    <w:tmpl w:val="112C4688"/>
    <w:lvl w:ilvl="0">
      <w:start w:val="1"/>
      <w:numFmt w:val="decimal"/>
      <w:lvlText w:val="%1"/>
      <w:lvlJc w:val="left"/>
      <w:pPr>
        <w:ind w:left="432" w:hanging="432"/>
      </w:pPr>
      <w:rPr>
        <w:rFonts w:asciiTheme="minorHAnsi" w:hAnsiTheme="minorHAnsi" w:hint="default"/>
        <w:b/>
        <w:i w:val="0"/>
        <w:caps/>
        <w:color w:val="009FDF"/>
        <w:sz w:val="28"/>
      </w:rPr>
    </w:lvl>
    <w:lvl w:ilvl="1">
      <w:start w:val="1"/>
      <w:numFmt w:val="decimal"/>
      <w:lvlText w:val="%1.%2"/>
      <w:lvlJc w:val="left"/>
      <w:pPr>
        <w:ind w:left="576" w:hanging="576"/>
      </w:pPr>
      <w:rPr>
        <w:rFonts w:asciiTheme="minorHAnsi" w:hAnsiTheme="minorHAnsi" w:hint="default"/>
        <w:b/>
        <w:i w:val="0"/>
        <w:caps/>
        <w:color w:val="009FDF"/>
        <w:sz w:val="24"/>
      </w:rPr>
    </w:lvl>
    <w:lvl w:ilvl="2">
      <w:start w:val="1"/>
      <w:numFmt w:val="decimal"/>
      <w:lvlText w:val="%1.%2.%3"/>
      <w:lvlJc w:val="left"/>
      <w:pPr>
        <w:ind w:left="720" w:hanging="720"/>
      </w:pPr>
      <w:rPr>
        <w:rFonts w:asciiTheme="minorHAnsi" w:hAnsiTheme="minorHAnsi" w:hint="default"/>
        <w:b/>
        <w:i w:val="0"/>
        <w:caps/>
        <w:color w:val="009FDF"/>
        <w:sz w:val="24"/>
      </w:rPr>
    </w:lvl>
    <w:lvl w:ilvl="3">
      <w:start w:val="1"/>
      <w:numFmt w:val="decimal"/>
      <w:lvlText w:val="%1.%2.%3.%4"/>
      <w:lvlJc w:val="left"/>
      <w:pPr>
        <w:ind w:left="864" w:hanging="86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5F157AD2"/>
    <w:multiLevelType w:val="hybridMultilevel"/>
    <w:tmpl w:val="1C287182"/>
    <w:lvl w:ilvl="0" w:tplc="73E805F4">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6C287645"/>
    <w:multiLevelType w:val="multilevel"/>
    <w:tmpl w:val="276A57CE"/>
    <w:lvl w:ilvl="0">
      <w:start w:val="1"/>
      <w:numFmt w:val="decimal"/>
      <w:suff w:val="nothing"/>
      <w:lvlText w:val="Table %1"/>
      <w:lvlJc w:val="left"/>
      <w:pPr>
        <w:ind w:left="1416" w:firstLine="0"/>
      </w:pPr>
      <w:rPr>
        <w:rFonts w:hint="default"/>
        <w:u w:val="single"/>
      </w:rPr>
    </w:lvl>
    <w:lvl w:ilvl="1">
      <w:start w:val="1"/>
      <w:numFmt w:val="decimal"/>
      <w:lvlText w:val="%1.%2."/>
      <w:lvlJc w:val="left"/>
      <w:pPr>
        <w:ind w:left="2918" w:hanging="432"/>
      </w:pPr>
      <w:rPr>
        <w:rFonts w:hint="default"/>
      </w:rPr>
    </w:lvl>
    <w:lvl w:ilvl="2">
      <w:start w:val="1"/>
      <w:numFmt w:val="decimal"/>
      <w:lvlText w:val="%1.%2.%3."/>
      <w:lvlJc w:val="left"/>
      <w:pPr>
        <w:ind w:left="3350" w:hanging="504"/>
      </w:pPr>
      <w:rPr>
        <w:rFonts w:hint="default"/>
      </w:rPr>
    </w:lvl>
    <w:lvl w:ilvl="3">
      <w:start w:val="1"/>
      <w:numFmt w:val="decimal"/>
      <w:lvlText w:val="%1.%2.%3.%4."/>
      <w:lvlJc w:val="left"/>
      <w:pPr>
        <w:ind w:left="3854" w:hanging="648"/>
      </w:pPr>
      <w:rPr>
        <w:rFonts w:hint="default"/>
      </w:rPr>
    </w:lvl>
    <w:lvl w:ilvl="4">
      <w:start w:val="1"/>
      <w:numFmt w:val="decimal"/>
      <w:lvlText w:val="%1.%2.%3.%4.%5."/>
      <w:lvlJc w:val="left"/>
      <w:pPr>
        <w:ind w:left="4358" w:hanging="792"/>
      </w:pPr>
      <w:rPr>
        <w:rFonts w:hint="default"/>
      </w:rPr>
    </w:lvl>
    <w:lvl w:ilvl="5">
      <w:start w:val="1"/>
      <w:numFmt w:val="decimal"/>
      <w:lvlText w:val="%1.%2.%3.%4.%5.%6."/>
      <w:lvlJc w:val="left"/>
      <w:pPr>
        <w:ind w:left="4862" w:hanging="936"/>
      </w:pPr>
      <w:rPr>
        <w:rFonts w:hint="default"/>
      </w:rPr>
    </w:lvl>
    <w:lvl w:ilvl="6">
      <w:start w:val="1"/>
      <w:numFmt w:val="decimal"/>
      <w:lvlText w:val="%1.%2.%3.%4.%5.%6.%7."/>
      <w:lvlJc w:val="left"/>
      <w:pPr>
        <w:ind w:left="5366" w:hanging="1080"/>
      </w:pPr>
      <w:rPr>
        <w:rFonts w:hint="default"/>
      </w:rPr>
    </w:lvl>
    <w:lvl w:ilvl="7">
      <w:start w:val="1"/>
      <w:numFmt w:val="decimal"/>
      <w:lvlText w:val="%1.%2.%3.%4.%5.%6.%7.%8."/>
      <w:lvlJc w:val="left"/>
      <w:pPr>
        <w:ind w:left="5870" w:hanging="1224"/>
      </w:pPr>
      <w:rPr>
        <w:rFonts w:hint="default"/>
      </w:rPr>
    </w:lvl>
    <w:lvl w:ilvl="8">
      <w:start w:val="1"/>
      <w:numFmt w:val="decimal"/>
      <w:lvlText w:val="%1.%2.%3.%4.%5.%6.%7.%8.%9."/>
      <w:lvlJc w:val="left"/>
      <w:pPr>
        <w:ind w:left="6446" w:hanging="1440"/>
      </w:pPr>
      <w:rPr>
        <w:rFonts w:hint="default"/>
      </w:rPr>
    </w:lvl>
  </w:abstractNum>
  <w:abstractNum w:abstractNumId="41">
    <w:nsid w:val="7090088D"/>
    <w:multiLevelType w:val="multilevel"/>
    <w:tmpl w:val="491631E0"/>
    <w:lvl w:ilvl="0">
      <w:start w:val="1"/>
      <w:numFmt w:val="decimal"/>
      <w:suff w:val="nothing"/>
      <w:lvlText w:val="APPENDIX %1"/>
      <w:lvlJc w:val="left"/>
      <w:pPr>
        <w:ind w:left="1985" w:hanging="1985"/>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767236FF"/>
    <w:multiLevelType w:val="multilevel"/>
    <w:tmpl w:val="53647608"/>
    <w:lvl w:ilvl="0">
      <w:start w:val="1"/>
      <w:numFmt w:val="decimal"/>
      <w:suff w:val="nothing"/>
      <w:lvlText w:val="APPENDIX %1"/>
      <w:lvlJc w:val="left"/>
      <w:pPr>
        <w:ind w:left="567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6462" w:hanging="432"/>
      </w:pPr>
      <w:rPr>
        <w:rFonts w:hint="default"/>
      </w:rPr>
    </w:lvl>
    <w:lvl w:ilvl="2">
      <w:start w:val="1"/>
      <w:numFmt w:val="decimal"/>
      <w:lvlText w:val="%1.%2.%3."/>
      <w:lvlJc w:val="left"/>
      <w:pPr>
        <w:ind w:left="6894" w:hanging="504"/>
      </w:pPr>
      <w:rPr>
        <w:rFonts w:hint="default"/>
      </w:rPr>
    </w:lvl>
    <w:lvl w:ilvl="3">
      <w:start w:val="1"/>
      <w:numFmt w:val="decimal"/>
      <w:lvlText w:val="%1.%2.%3.%4."/>
      <w:lvlJc w:val="left"/>
      <w:pPr>
        <w:ind w:left="7398" w:hanging="648"/>
      </w:pPr>
      <w:rPr>
        <w:rFonts w:hint="default"/>
      </w:rPr>
    </w:lvl>
    <w:lvl w:ilvl="4">
      <w:start w:val="1"/>
      <w:numFmt w:val="decimal"/>
      <w:lvlText w:val="%1.%2.%3.%4.%5."/>
      <w:lvlJc w:val="left"/>
      <w:pPr>
        <w:ind w:left="7902" w:hanging="792"/>
      </w:pPr>
      <w:rPr>
        <w:rFonts w:hint="default"/>
      </w:rPr>
    </w:lvl>
    <w:lvl w:ilvl="5">
      <w:start w:val="1"/>
      <w:numFmt w:val="decimal"/>
      <w:lvlText w:val="%1.%2.%3.%4.%5.%6."/>
      <w:lvlJc w:val="left"/>
      <w:pPr>
        <w:ind w:left="8406" w:hanging="936"/>
      </w:pPr>
      <w:rPr>
        <w:rFonts w:hint="default"/>
      </w:rPr>
    </w:lvl>
    <w:lvl w:ilvl="6">
      <w:start w:val="1"/>
      <w:numFmt w:val="decimal"/>
      <w:lvlText w:val="%1.%2.%3.%4.%5.%6.%7."/>
      <w:lvlJc w:val="left"/>
      <w:pPr>
        <w:ind w:left="8910" w:hanging="1080"/>
      </w:pPr>
      <w:rPr>
        <w:rFonts w:hint="default"/>
      </w:rPr>
    </w:lvl>
    <w:lvl w:ilvl="7">
      <w:start w:val="1"/>
      <w:numFmt w:val="decimal"/>
      <w:lvlText w:val="%1.%2.%3.%4.%5.%6.%7.%8."/>
      <w:lvlJc w:val="left"/>
      <w:pPr>
        <w:ind w:left="9414" w:hanging="1224"/>
      </w:pPr>
      <w:rPr>
        <w:rFonts w:hint="default"/>
      </w:rPr>
    </w:lvl>
    <w:lvl w:ilvl="8">
      <w:start w:val="1"/>
      <w:numFmt w:val="decimal"/>
      <w:lvlText w:val="%1.%2.%3.%4.%5.%6.%7.%8.%9."/>
      <w:lvlJc w:val="left"/>
      <w:pPr>
        <w:ind w:left="9990" w:hanging="1440"/>
      </w:pPr>
      <w:rPr>
        <w:rFonts w:hint="default"/>
      </w:rPr>
    </w:lvl>
  </w:abstractNum>
  <w:abstractNum w:abstractNumId="43">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4">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5"/>
  </w:num>
  <w:num w:numId="2">
    <w:abstractNumId w:val="14"/>
  </w:num>
  <w:num w:numId="3">
    <w:abstractNumId w:val="27"/>
  </w:num>
  <w:num w:numId="4">
    <w:abstractNumId w:val="24"/>
  </w:num>
  <w:num w:numId="5">
    <w:abstractNumId w:val="16"/>
  </w:num>
  <w:num w:numId="6">
    <w:abstractNumId w:val="23"/>
  </w:num>
  <w:num w:numId="7">
    <w:abstractNumId w:val="13"/>
  </w:num>
  <w:num w:numId="8">
    <w:abstractNumId w:val="22"/>
  </w:num>
  <w:num w:numId="9">
    <w:abstractNumId w:val="17"/>
  </w:num>
  <w:num w:numId="10">
    <w:abstractNumId w:val="25"/>
  </w:num>
  <w:num w:numId="11">
    <w:abstractNumId w:val="31"/>
  </w:num>
  <w:num w:numId="12">
    <w:abstractNumId w:val="39"/>
  </w:num>
  <w:num w:numId="13">
    <w:abstractNumId w:val="35"/>
  </w:num>
  <w:num w:numId="14">
    <w:abstractNumId w:val="33"/>
  </w:num>
  <w:num w:numId="15">
    <w:abstractNumId w:val="43"/>
  </w:num>
  <w:num w:numId="16">
    <w:abstractNumId w:val="29"/>
  </w:num>
  <w:num w:numId="17">
    <w:abstractNumId w:val="20"/>
  </w:num>
  <w:num w:numId="18">
    <w:abstractNumId w:val="38"/>
  </w:num>
  <w:num w:numId="19">
    <w:abstractNumId w:val="44"/>
  </w:num>
  <w:num w:numId="20">
    <w:abstractNumId w:val="10"/>
  </w:num>
  <w:num w:numId="21">
    <w:abstractNumId w:val="36"/>
  </w:num>
  <w:num w:numId="22">
    <w:abstractNumId w:val="12"/>
  </w:num>
  <w:num w:numId="23">
    <w:abstractNumId w:val="30"/>
  </w:num>
  <w:num w:numId="24">
    <w:abstractNumId w:val="11"/>
  </w:num>
  <w:num w:numId="25">
    <w:abstractNumId w:val="15"/>
  </w:num>
  <w:num w:numId="26">
    <w:abstractNumId w:val="3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8"/>
  </w:num>
  <w:num w:numId="36">
    <w:abstractNumId w:val="9"/>
  </w:num>
  <w:num w:numId="37">
    <w:abstractNumId w:val="19"/>
  </w:num>
  <w:num w:numId="38">
    <w:abstractNumId w:val="18"/>
  </w:num>
  <w:num w:numId="39">
    <w:abstractNumId w:val="26"/>
  </w:num>
  <w:num w:numId="40">
    <w:abstractNumId w:val="37"/>
  </w:num>
  <w:num w:numId="41">
    <w:abstractNumId w:val="28"/>
  </w:num>
  <w:num w:numId="42">
    <w:abstractNumId w:val="21"/>
  </w:num>
  <w:num w:numId="43">
    <w:abstractNumId w:val="34"/>
  </w:num>
  <w:num w:numId="44">
    <w:abstractNumId w:val="42"/>
  </w:num>
  <w:num w:numId="45">
    <w:abstractNumId w:val="41"/>
  </w:num>
  <w:num w:numId="46">
    <w:abstractNumId w:val="40"/>
  </w:num>
  <w:num w:numId="47">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activeWritingStyle w:appName="MSWord" w:lang="fr-FR" w:vendorID="2" w:dllVersion="6"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174F9"/>
    <w:rsid w:val="00024C23"/>
    <w:rsid w:val="000258F6"/>
    <w:rsid w:val="00036344"/>
    <w:rsid w:val="000379A7"/>
    <w:rsid w:val="00040EB8"/>
    <w:rsid w:val="00055311"/>
    <w:rsid w:val="00057B6D"/>
    <w:rsid w:val="00060C0C"/>
    <w:rsid w:val="00061A7B"/>
    <w:rsid w:val="00084FE9"/>
    <w:rsid w:val="000859C4"/>
    <w:rsid w:val="000904ED"/>
    <w:rsid w:val="00096642"/>
    <w:rsid w:val="000A27A8"/>
    <w:rsid w:val="000C711B"/>
    <w:rsid w:val="000E3954"/>
    <w:rsid w:val="000E3E52"/>
    <w:rsid w:val="000F0F9F"/>
    <w:rsid w:val="000F3F43"/>
    <w:rsid w:val="00111E0A"/>
    <w:rsid w:val="00113D5B"/>
    <w:rsid w:val="00113F8F"/>
    <w:rsid w:val="0011782B"/>
    <w:rsid w:val="001349DB"/>
    <w:rsid w:val="00136E58"/>
    <w:rsid w:val="00140600"/>
    <w:rsid w:val="001607C8"/>
    <w:rsid w:val="00161325"/>
    <w:rsid w:val="001875B1"/>
    <w:rsid w:val="001B7940"/>
    <w:rsid w:val="001D4A3E"/>
    <w:rsid w:val="001E416D"/>
    <w:rsid w:val="00201337"/>
    <w:rsid w:val="002022EA"/>
    <w:rsid w:val="00205B17"/>
    <w:rsid w:val="00205D9B"/>
    <w:rsid w:val="002204DA"/>
    <w:rsid w:val="0022371A"/>
    <w:rsid w:val="00230738"/>
    <w:rsid w:val="002470C9"/>
    <w:rsid w:val="002520AD"/>
    <w:rsid w:val="002547CB"/>
    <w:rsid w:val="00257DF8"/>
    <w:rsid w:val="00257E4A"/>
    <w:rsid w:val="002711FC"/>
    <w:rsid w:val="0027175D"/>
    <w:rsid w:val="002E4993"/>
    <w:rsid w:val="002E5BAC"/>
    <w:rsid w:val="002E7635"/>
    <w:rsid w:val="002F265A"/>
    <w:rsid w:val="002F40FA"/>
    <w:rsid w:val="00305EFE"/>
    <w:rsid w:val="00313D85"/>
    <w:rsid w:val="00315CE3"/>
    <w:rsid w:val="00322488"/>
    <w:rsid w:val="003251FE"/>
    <w:rsid w:val="003274DB"/>
    <w:rsid w:val="00327FBF"/>
    <w:rsid w:val="00336410"/>
    <w:rsid w:val="0036382D"/>
    <w:rsid w:val="00380350"/>
    <w:rsid w:val="00380B4E"/>
    <w:rsid w:val="003816E4"/>
    <w:rsid w:val="00387A6D"/>
    <w:rsid w:val="003A7759"/>
    <w:rsid w:val="003B03EA"/>
    <w:rsid w:val="003B5C7C"/>
    <w:rsid w:val="003C7C34"/>
    <w:rsid w:val="003D0F37"/>
    <w:rsid w:val="003D2DE1"/>
    <w:rsid w:val="003D49C0"/>
    <w:rsid w:val="003D5150"/>
    <w:rsid w:val="003F1C3A"/>
    <w:rsid w:val="00441393"/>
    <w:rsid w:val="00447CF0"/>
    <w:rsid w:val="00456EE9"/>
    <w:rsid w:val="00456F10"/>
    <w:rsid w:val="00492A8D"/>
    <w:rsid w:val="004B518C"/>
    <w:rsid w:val="004D24EC"/>
    <w:rsid w:val="004E1D57"/>
    <w:rsid w:val="004E2F16"/>
    <w:rsid w:val="004F3118"/>
    <w:rsid w:val="00503044"/>
    <w:rsid w:val="00526234"/>
    <w:rsid w:val="005339D4"/>
    <w:rsid w:val="005378B8"/>
    <w:rsid w:val="00557434"/>
    <w:rsid w:val="005629E8"/>
    <w:rsid w:val="00562E8B"/>
    <w:rsid w:val="00564664"/>
    <w:rsid w:val="00576F4A"/>
    <w:rsid w:val="0059159F"/>
    <w:rsid w:val="00595415"/>
    <w:rsid w:val="00597652"/>
    <w:rsid w:val="005A080B"/>
    <w:rsid w:val="005B12A5"/>
    <w:rsid w:val="005B696E"/>
    <w:rsid w:val="005C161A"/>
    <w:rsid w:val="005C1BCB"/>
    <w:rsid w:val="005C2312"/>
    <w:rsid w:val="005C4735"/>
    <w:rsid w:val="005C5C63"/>
    <w:rsid w:val="005D304B"/>
    <w:rsid w:val="005E3989"/>
    <w:rsid w:val="005E4659"/>
    <w:rsid w:val="005F1386"/>
    <w:rsid w:val="005F17C2"/>
    <w:rsid w:val="006127AC"/>
    <w:rsid w:val="00634A78"/>
    <w:rsid w:val="00642025"/>
    <w:rsid w:val="00644944"/>
    <w:rsid w:val="0065107F"/>
    <w:rsid w:val="00663D7D"/>
    <w:rsid w:val="00666061"/>
    <w:rsid w:val="00667424"/>
    <w:rsid w:val="00667792"/>
    <w:rsid w:val="00671677"/>
    <w:rsid w:val="00674A45"/>
    <w:rsid w:val="006750F2"/>
    <w:rsid w:val="0068553C"/>
    <w:rsid w:val="00685F34"/>
    <w:rsid w:val="006975A8"/>
    <w:rsid w:val="006A48A6"/>
    <w:rsid w:val="006B2D4C"/>
    <w:rsid w:val="006B5AF6"/>
    <w:rsid w:val="006C3E3B"/>
    <w:rsid w:val="006E0E7D"/>
    <w:rsid w:val="006E5B54"/>
    <w:rsid w:val="006F1C14"/>
    <w:rsid w:val="0072737A"/>
    <w:rsid w:val="00731DEE"/>
    <w:rsid w:val="00757050"/>
    <w:rsid w:val="007715E8"/>
    <w:rsid w:val="00776004"/>
    <w:rsid w:val="0078486B"/>
    <w:rsid w:val="00785A39"/>
    <w:rsid w:val="00787D8A"/>
    <w:rsid w:val="00790277"/>
    <w:rsid w:val="00790667"/>
    <w:rsid w:val="00791EBC"/>
    <w:rsid w:val="00793577"/>
    <w:rsid w:val="007A446A"/>
    <w:rsid w:val="007A72CF"/>
    <w:rsid w:val="007B6A93"/>
    <w:rsid w:val="007D1352"/>
    <w:rsid w:val="007D2107"/>
    <w:rsid w:val="007D5895"/>
    <w:rsid w:val="007D77AB"/>
    <w:rsid w:val="007E30DF"/>
    <w:rsid w:val="007F7544"/>
    <w:rsid w:val="00800995"/>
    <w:rsid w:val="00822227"/>
    <w:rsid w:val="0083218D"/>
    <w:rsid w:val="008326B2"/>
    <w:rsid w:val="008336A7"/>
    <w:rsid w:val="00846831"/>
    <w:rsid w:val="00850F97"/>
    <w:rsid w:val="008608A4"/>
    <w:rsid w:val="00865532"/>
    <w:rsid w:val="008737D3"/>
    <w:rsid w:val="008747E0"/>
    <w:rsid w:val="00876841"/>
    <w:rsid w:val="008972C3"/>
    <w:rsid w:val="0089777F"/>
    <w:rsid w:val="008B237E"/>
    <w:rsid w:val="008C33B5"/>
    <w:rsid w:val="008D017F"/>
    <w:rsid w:val="008D16F0"/>
    <w:rsid w:val="008E1F69"/>
    <w:rsid w:val="008E59A3"/>
    <w:rsid w:val="008F57D8"/>
    <w:rsid w:val="00902834"/>
    <w:rsid w:val="009069AA"/>
    <w:rsid w:val="00914E26"/>
    <w:rsid w:val="0091590F"/>
    <w:rsid w:val="00920B0A"/>
    <w:rsid w:val="0092540C"/>
    <w:rsid w:val="00925E0F"/>
    <w:rsid w:val="00931A57"/>
    <w:rsid w:val="009414E6"/>
    <w:rsid w:val="00967585"/>
    <w:rsid w:val="00971591"/>
    <w:rsid w:val="00974564"/>
    <w:rsid w:val="00974E99"/>
    <w:rsid w:val="009764FA"/>
    <w:rsid w:val="00980192"/>
    <w:rsid w:val="00992B37"/>
    <w:rsid w:val="00994D97"/>
    <w:rsid w:val="009B5154"/>
    <w:rsid w:val="009B785E"/>
    <w:rsid w:val="009C26F8"/>
    <w:rsid w:val="009C3A74"/>
    <w:rsid w:val="009C609E"/>
    <w:rsid w:val="009E16EC"/>
    <w:rsid w:val="009E4A4D"/>
    <w:rsid w:val="009F081F"/>
    <w:rsid w:val="00A13E56"/>
    <w:rsid w:val="00A24838"/>
    <w:rsid w:val="00A4308C"/>
    <w:rsid w:val="00A549B3"/>
    <w:rsid w:val="00A70F46"/>
    <w:rsid w:val="00A72ED7"/>
    <w:rsid w:val="00A90D86"/>
    <w:rsid w:val="00AA3E01"/>
    <w:rsid w:val="00AC33A2"/>
    <w:rsid w:val="00AD6D3F"/>
    <w:rsid w:val="00AE65F1"/>
    <w:rsid w:val="00AE6BB4"/>
    <w:rsid w:val="00AE74AD"/>
    <w:rsid w:val="00AF159C"/>
    <w:rsid w:val="00B01873"/>
    <w:rsid w:val="00B17253"/>
    <w:rsid w:val="00B17BE0"/>
    <w:rsid w:val="00B31A41"/>
    <w:rsid w:val="00B40199"/>
    <w:rsid w:val="00B502FF"/>
    <w:rsid w:val="00B53FD1"/>
    <w:rsid w:val="00B67422"/>
    <w:rsid w:val="00B706C3"/>
    <w:rsid w:val="00B70BD4"/>
    <w:rsid w:val="00B73463"/>
    <w:rsid w:val="00B855BC"/>
    <w:rsid w:val="00B9016D"/>
    <w:rsid w:val="00BA0F98"/>
    <w:rsid w:val="00BA1517"/>
    <w:rsid w:val="00BA67FD"/>
    <w:rsid w:val="00BA7C48"/>
    <w:rsid w:val="00BC27F6"/>
    <w:rsid w:val="00BC39F4"/>
    <w:rsid w:val="00BD0748"/>
    <w:rsid w:val="00BD7EE1"/>
    <w:rsid w:val="00BE5568"/>
    <w:rsid w:val="00BF1358"/>
    <w:rsid w:val="00C0106D"/>
    <w:rsid w:val="00C12464"/>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2073D"/>
    <w:rsid w:val="00D3120D"/>
    <w:rsid w:val="00D3700C"/>
    <w:rsid w:val="00D40847"/>
    <w:rsid w:val="00D653B1"/>
    <w:rsid w:val="00D65EF9"/>
    <w:rsid w:val="00D74AE1"/>
    <w:rsid w:val="00D865A8"/>
    <w:rsid w:val="00D92C2D"/>
    <w:rsid w:val="00D95C19"/>
    <w:rsid w:val="00D96043"/>
    <w:rsid w:val="00DA09DA"/>
    <w:rsid w:val="00DA17CD"/>
    <w:rsid w:val="00DB25B3"/>
    <w:rsid w:val="00DD1DE5"/>
    <w:rsid w:val="00DD3E15"/>
    <w:rsid w:val="00DE0893"/>
    <w:rsid w:val="00DE2814"/>
    <w:rsid w:val="00DF68EA"/>
    <w:rsid w:val="00E01272"/>
    <w:rsid w:val="00E03846"/>
    <w:rsid w:val="00E159C4"/>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61D83"/>
    <w:rsid w:val="00F65021"/>
    <w:rsid w:val="00F65DD1"/>
    <w:rsid w:val="00F707B3"/>
    <w:rsid w:val="00F71135"/>
    <w:rsid w:val="00F83A53"/>
    <w:rsid w:val="00F90461"/>
    <w:rsid w:val="00F905E1"/>
    <w:rsid w:val="00FB6A3D"/>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12"/>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12"/>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12"/>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12"/>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rsid w:val="00822227"/>
    <w:pPr>
      <w:numPr>
        <w:numId w:val="38"/>
      </w:numPr>
      <w:spacing w:after="120"/>
    </w:pPr>
    <w:rPr>
      <w:color w:val="000000" w:themeColor="text1"/>
      <w:sz w:val="22"/>
      <w:lang w:val="fr-FR"/>
    </w:rPr>
  </w:style>
  <w:style w:type="paragraph" w:customStyle="1" w:styleId="Bullet2">
    <w:name w:val="Bullet 2"/>
    <w:basedOn w:val="Normal"/>
    <w:link w:val="Bullet2Char"/>
    <w:qFormat/>
    <w:rsid w:val="00822227"/>
    <w:pPr>
      <w:numPr>
        <w:numId w:val="1"/>
      </w:numPr>
      <w:spacing w:after="120"/>
    </w:pPr>
    <w:rPr>
      <w:color w:val="000000" w:themeColor="text1"/>
      <w:sz w:val="22"/>
    </w:r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663D7D"/>
    <w:pPr>
      <w:tabs>
        <w:tab w:val="right" w:leader="dot" w:pos="9781"/>
      </w:tabs>
      <w:spacing w:after="40" w:line="300" w:lineRule="atLeast"/>
      <w:ind w:left="709" w:right="425" w:hanging="709"/>
    </w:pPr>
    <w:rPr>
      <w:b/>
      <w:noProof/>
      <w:color w:val="00558C" w:themeColor="accent1"/>
      <w:sz w:val="22"/>
    </w:rPr>
  </w:style>
  <w:style w:type="paragraph" w:styleId="TOC2">
    <w:name w:val="toc 2"/>
    <w:basedOn w:val="Normal"/>
    <w:next w:val="Normal"/>
    <w:autoRedefine/>
    <w:uiPriority w:val="39"/>
    <w:rsid w:val="00024C23"/>
    <w:pPr>
      <w:tabs>
        <w:tab w:val="right" w:leader="dot" w:pos="9781"/>
      </w:tabs>
      <w:spacing w:after="40" w:line="300" w:lineRule="atLeast"/>
      <w:ind w:left="993" w:right="425" w:hanging="993"/>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024C23"/>
    <w:pPr>
      <w:spacing w:after="60"/>
      <w:ind w:left="1134" w:hanging="709"/>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character" w:customStyle="1" w:styleId="Bullet2Char">
    <w:name w:val="Bullet 2 Char"/>
    <w:basedOn w:val="DefaultParagraphFont"/>
    <w:link w:val="Bullet2"/>
    <w:rsid w:val="00822227"/>
    <w:rPr>
      <w:color w:val="000000" w:themeColor="text1"/>
      <w:lang w:val="en-GB"/>
    </w:r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3"/>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3"/>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3"/>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3"/>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2"/>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39"/>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39"/>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39"/>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39"/>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663D7D"/>
    <w:pPr>
      <w:numPr>
        <w:numId w:val="9"/>
      </w:numPr>
      <w:tabs>
        <w:tab w:val="left" w:pos="1701"/>
      </w:tabs>
      <w:spacing w:before="120" w:after="240" w:line="240" w:lineRule="auto"/>
      <w:ind w:left="1701" w:hanging="1701"/>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7"/>
      </w:numPr>
      <w:spacing w:after="120"/>
      <w:jc w:val="both"/>
    </w:pPr>
    <w:rPr>
      <w:sz w:val="22"/>
    </w:rPr>
  </w:style>
  <w:style w:type="paragraph" w:customStyle="1" w:styleId="Revokes">
    <w:name w:val="Revokes"/>
    <w:basedOn w:val="Normal"/>
    <w:next w:val="BodyText"/>
    <w:rsid w:val="002470C9"/>
    <w:rPr>
      <w:b/>
      <w:color w:val="00558C"/>
      <w:sz w:val="28"/>
    </w:rPr>
  </w:style>
  <w:style w:type="paragraph" w:customStyle="1" w:styleId="Tablecaption">
    <w:name w:val="Table caption"/>
    <w:basedOn w:val="TableofFigures"/>
    <w:next w:val="Normal"/>
    <w:rsid w:val="00790667"/>
    <w:pPr>
      <w:ind w:left="1134" w:hanging="1134"/>
    </w:pPr>
    <w:rPr>
      <w:rFonts w:eastAsiaTheme="minorEastAsia"/>
      <w:b w:val="0"/>
      <w:i w:val="0"/>
      <w:color w:val="auto"/>
      <w:sz w:val="24"/>
      <w:szCs w:val="24"/>
      <w:lang w:eastAsia="en-GB"/>
    </w:rPr>
  </w:style>
  <w:style w:type="paragraph" w:styleId="TOC4">
    <w:name w:val="toc 4"/>
    <w:basedOn w:val="Normal"/>
    <w:next w:val="Normal"/>
    <w:autoRedefine/>
    <w:uiPriority w:val="39"/>
    <w:unhideWhenUsed/>
    <w:rsid w:val="00024C23"/>
    <w:pPr>
      <w:tabs>
        <w:tab w:val="right" w:leader="dot" w:pos="10195"/>
      </w:tabs>
      <w:ind w:left="1134" w:right="425" w:hanging="1134"/>
    </w:pPr>
    <w:rPr>
      <w:b/>
      <w:color w:val="00558C"/>
      <w:sz w:val="22"/>
    </w:r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6"/>
      </w:numPr>
    </w:pPr>
  </w:style>
  <w:style w:type="paragraph" w:styleId="TOC5">
    <w:name w:val="toc 5"/>
    <w:basedOn w:val="Normal"/>
    <w:next w:val="Normal"/>
    <w:autoRedefine/>
    <w:uiPriority w:val="39"/>
    <w:rsid w:val="00757050"/>
    <w:pPr>
      <w:tabs>
        <w:tab w:val="left" w:pos="1418"/>
        <w:tab w:val="right" w:leader="dot" w:pos="9781"/>
      </w:tabs>
      <w:spacing w:before="60" w:after="60" w:line="240" w:lineRule="auto"/>
      <w:ind w:left="1418" w:right="424" w:hanging="1418"/>
    </w:pPr>
    <w:rPr>
      <w:rFonts w:eastAsia="Times New Roman" w:cs="Times New Roman"/>
      <w:b/>
      <w:caps/>
      <w:noProof/>
      <w:color w:val="00558C"/>
      <w:sz w:val="22"/>
      <w:szCs w:val="20"/>
      <w:u w:color="407EC9"/>
    </w:rPr>
  </w:style>
  <w:style w:type="paragraph" w:styleId="TOC6">
    <w:name w:val="toc 6"/>
    <w:basedOn w:val="Normal"/>
    <w:next w:val="Normal"/>
    <w:autoRedefine/>
    <w:rsid w:val="00024C23"/>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024C23"/>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024C23"/>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024C23"/>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822227"/>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822227"/>
    <w:pPr>
      <w:numPr>
        <w:numId w:val="19"/>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822227"/>
    <w:pPr>
      <w:numPr>
        <w:ilvl w:val="1"/>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E59A3"/>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6"/>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024C2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4"/>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822227"/>
    <w:pPr>
      <w:numPr>
        <w:numId w:val="8"/>
      </w:numPr>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11"/>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11"/>
      </w:numPr>
    </w:pPr>
  </w:style>
  <w:style w:type="paragraph" w:customStyle="1" w:styleId="AnnexBHead3">
    <w:name w:val="Annex B Head 3"/>
    <w:basedOn w:val="AnnexAHead3"/>
    <w:next w:val="BodyText"/>
    <w:rsid w:val="00822227"/>
    <w:pPr>
      <w:numPr>
        <w:numId w:val="3"/>
      </w:numPr>
    </w:pPr>
  </w:style>
  <w:style w:type="paragraph" w:customStyle="1" w:styleId="AnnexBHead4">
    <w:name w:val="Annex B Head 4"/>
    <w:basedOn w:val="AnnexAHead4"/>
    <w:next w:val="BodyText"/>
    <w:rsid w:val="00822227"/>
    <w:pPr>
      <w:numPr>
        <w:numId w:val="3"/>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4"/>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7"/>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9"/>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822227"/>
    <w:pPr>
      <w:numPr>
        <w:numId w:val="20"/>
      </w:numPr>
      <w:spacing w:after="120"/>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42"/>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styleId="ListNumber">
    <w:name w:val="List Number"/>
    <w:basedOn w:val="Normal"/>
    <w:rsid w:val="008D16F0"/>
    <w:pPr>
      <w:tabs>
        <w:tab w:val="num" w:pos="360"/>
      </w:tabs>
      <w:spacing w:line="240" w:lineRule="auto"/>
      <w:ind w:left="360" w:hanging="360"/>
    </w:pPr>
    <w:rPr>
      <w:rFonts w:ascii="Arial" w:eastAsia="Times New Roman" w:hAnsi="Arial"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n.wikipedia.org/wiki/GH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9AFB5-F7E2-4ADF-99F6-742F9ED9E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2715</Words>
  <Characters>15477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18156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2017-02-04T21:39:00Z</dcterms:created>
  <dcterms:modified xsi:type="dcterms:W3CDTF">2017-02-04T21:41:00Z</dcterms:modified>
  <cp:category/>
</cp:coreProperties>
</file>